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B" w:rsidRPr="00DF4554" w:rsidRDefault="00393C2D">
      <w:pPr>
        <w:pStyle w:val="Standard"/>
        <w:pBdr>
          <w:bottom w:val="single" w:sz="4" w:space="1" w:color="00000A"/>
        </w:pBd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F45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DIOCESI S. BENEDETTO DEL TRONTO – RIPATRANSONE - MONTALTO</w:t>
      </w:r>
    </w:p>
    <w:p w:rsidR="008E0B7B" w:rsidRPr="00DF4554" w:rsidRDefault="00393C2D">
      <w:pP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F455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CARITAS DIOCESANA</w:t>
      </w:r>
    </w:p>
    <w:p w:rsidR="008E0B7B" w:rsidRDefault="008E0B7B">
      <w:pPr>
        <w:rPr>
          <w:i/>
          <w:szCs w:val="20"/>
        </w:rPr>
      </w:pPr>
    </w:p>
    <w:p w:rsidR="008E0B7B" w:rsidRDefault="008E0B7B">
      <w:pPr>
        <w:rPr>
          <w:i/>
          <w:szCs w:val="20"/>
        </w:rPr>
      </w:pPr>
    </w:p>
    <w:p w:rsidR="008E0B7B" w:rsidRDefault="008E0B7B">
      <w:pPr>
        <w:rPr>
          <w:i/>
          <w:szCs w:val="20"/>
        </w:rPr>
      </w:pPr>
    </w:p>
    <w:p w:rsidR="008E0B7B" w:rsidRDefault="008E0B7B">
      <w:pPr>
        <w:rPr>
          <w:i/>
          <w:szCs w:val="20"/>
        </w:rPr>
      </w:pPr>
    </w:p>
    <w:p w:rsidR="008E0B7B" w:rsidRDefault="008E0B7B">
      <w:pPr>
        <w:rPr>
          <w:i/>
          <w:szCs w:val="20"/>
        </w:rPr>
      </w:pPr>
    </w:p>
    <w:p w:rsidR="008E0B7B" w:rsidRDefault="00E13E0B" w:rsidP="00DF4554">
      <w:pPr>
        <w:jc w:val="center"/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6648450" cy="4324350"/>
            <wp:effectExtent l="0" t="0" r="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32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0B7B" w:rsidRDefault="008E0B7B">
      <w:pPr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DF4554" w:rsidRDefault="00DF4554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8E0B7B" w:rsidRPr="00DF4554" w:rsidRDefault="00E13E0B">
      <w:pPr>
        <w:jc w:val="center"/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</w:pPr>
      <w:r w:rsidRPr="00DF4554"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  <w:t>Relazione Caritas diocesana anno 2016</w:t>
      </w:r>
    </w:p>
    <w:p w:rsidR="008E0B7B" w:rsidRDefault="008E0B7B" w:rsidP="00DF455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54" w:rsidRDefault="00DF4554" w:rsidP="00DF4554">
      <w:pPr>
        <w:pStyle w:val="Standard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 xml:space="preserve">Chiesa, territorio, </w:t>
      </w:r>
      <w:r w:rsidRPr="00DF4554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 xml:space="preserve">istituzioni 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>….</w:t>
      </w:r>
    </w:p>
    <w:p w:rsidR="00C97F56" w:rsidRDefault="00DF4554" w:rsidP="00C97F56">
      <w:pPr>
        <w:pStyle w:val="Standard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 xml:space="preserve">attenti </w:t>
      </w:r>
      <w:r w:rsidR="00B24152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>alle risorse e al</w:t>
      </w:r>
      <w:r w:rsidRPr="00DF4554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>le povertà</w:t>
      </w:r>
      <w:r w:rsidR="00B24152"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</w:rPr>
        <w:t xml:space="preserve"> presenti sul territorio</w:t>
      </w:r>
    </w:p>
    <w:p w:rsidR="008E0B7B" w:rsidRDefault="00C97F56" w:rsidP="00C97F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B7B" w:rsidRDefault="00DF4554" w:rsidP="00DF4554">
      <w:pPr>
        <w:pStyle w:val="Standard"/>
        <w:pBdr>
          <w:bottom w:val="single" w:sz="4" w:space="1" w:color="00000A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E13E0B">
        <w:rPr>
          <w:rFonts w:ascii="Times New Roman" w:hAnsi="Times New Roman" w:cs="Times New Roman"/>
          <w:b/>
          <w:bCs/>
          <w:sz w:val="28"/>
          <w:szCs w:val="28"/>
        </w:rPr>
        <w:t>RELAZIONE CARITAS DIOCESANA ANNO 2016</w:t>
      </w:r>
    </w:p>
    <w:p w:rsidR="008E0B7B" w:rsidRDefault="00E13E0B">
      <w:pPr>
        <w:widowControl/>
        <w:suppressAutoHyphens w:val="0"/>
        <w:spacing w:before="100" w:after="100"/>
        <w:jc w:val="both"/>
        <w:textAlignment w:val="auto"/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“La chiesa è carità più che colei che fa la carità. Una carità di popolo, che va al di là del dare da bere o da mangiare - questo è valido per tutti - per riconoscere in chi ha sete o fame lo stesso Cristo. Ecco perché prima ancora di preoccuparci dei pov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ri è importante occuparci dell’animazione delle comunità cristiane, perché non si pensi ancora che la carità si possa delegare. Non si delega a nessuno: “non è il gingillo che qualcuno mette sulla giacca, ma la tuta che tutti sono chiamati ad i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dossare ogni giorno sporcandosi nel lavoro per gli altri”</w:t>
      </w:r>
    </w:p>
    <w:p w:rsidR="008E0B7B" w:rsidRDefault="00E13E0B">
      <w:pPr>
        <w:widowControl/>
        <w:suppressAutoHyphens w:val="0"/>
        <w:spacing w:before="100" w:after="100"/>
        <w:jc w:val="right"/>
        <w:textAlignment w:val="auto"/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(Card. Francesco Montenegro presidente di Caritas italiana)</w:t>
      </w:r>
    </w:p>
    <w:p w:rsidR="008E0B7B" w:rsidRDefault="008E0B7B">
      <w:pPr>
        <w:pStyle w:val="Nessunaspaziatura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0B7B" w:rsidRDefault="00E13E0B">
      <w:pPr>
        <w:pStyle w:val="Nessunaspaziatura"/>
        <w:numPr>
          <w:ilvl w:val="0"/>
          <w:numId w:val="29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RESOCONTO ANNO 2016</w:t>
      </w:r>
    </w:p>
    <w:p w:rsidR="008E0B7B" w:rsidRDefault="008E0B7B">
      <w:pPr>
        <w:pStyle w:val="Nessunaspaziatur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senso di questa relazione non è mostrare quanto la Caritas ha fatto, cosa che contraddirebbe lo stesso Vangelo, ma far prendere coscienza alla comunità cristiana e alla nostra gente, comprese le istituzioni, delle povertà e delle risorse presenti sul territorio.</w:t>
      </w:r>
    </w:p>
    <w:p w:rsidR="008E0B7B" w:rsidRDefault="00E13E0B">
      <w:pPr>
        <w:pStyle w:val="Nessunaspaziatura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La Caritas diocesana, essendo un organismo pastorale, ha cercato di inserirsi nel cammino della Chiesa locale che, nell’anno 2016 ha vissuto la conclusione del giubileo straordinario e si è impegnata a vivere la perseveranza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nell’insegnamento degli apostoli e nella comunione, nello spezzare il pane e nella preghiera</w:t>
      </w:r>
      <w:r>
        <w:rPr>
          <w:rFonts w:ascii="Times New Roman" w:eastAsia="Times New Roman" w:hAnsi="Times New Roman" w:cs="Times New Roman"/>
          <w:sz w:val="28"/>
          <w:szCs w:val="28"/>
        </w:rPr>
        <w:t>” (Atti 2,42).</w:t>
      </w:r>
    </w:p>
    <w:p w:rsidR="008E0B7B" w:rsidRDefault="00E13E0B">
      <w:pPr>
        <w:pStyle w:val="Nessunaspaziatura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A ricordo dell’anno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 xml:space="preserve"> giubilare</w:t>
      </w:r>
      <w:r>
        <w:rPr>
          <w:rFonts w:ascii="Times New Roman" w:eastAsia="Times New Roman" w:hAnsi="Times New Roman" w:cs="Times New Roman"/>
          <w:sz w:val="28"/>
          <w:szCs w:val="28"/>
        </w:rPr>
        <w:t>, il 16 aprile 2016, è stato inaugurato dal Vescovo Carlo, il 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Poliambulatorio”,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 xml:space="preserve"> diretto dal dott. Di Biagio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 xml:space="preserve">come luogo o ‘monumento’, come suggerito da papa Francesco, dove si mette in atto </w:t>
      </w:r>
      <w:r>
        <w:rPr>
          <w:rFonts w:ascii="Times New Roman" w:eastAsia="Times New Roman" w:hAnsi="Times New Roman" w:cs="Times New Roman"/>
          <w:sz w:val="28"/>
          <w:szCs w:val="28"/>
        </w:rPr>
        <w:t>l’opera di misericordia del “visitare g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 xml:space="preserve">li ammalati”. Il 15 maggio 2016, </w:t>
      </w:r>
      <w:r>
        <w:rPr>
          <w:rFonts w:ascii="Times New Roman" w:eastAsia="Times New Roman" w:hAnsi="Times New Roman" w:cs="Times New Roman"/>
          <w:sz w:val="28"/>
          <w:szCs w:val="28"/>
        </w:rPr>
        <w:t>a Porto d’Ascoli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è stato aperto il nuovo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“Centro d’Ascolto SS. Annunziata”,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realizzato grazie al contributo dell’8xmille, una delle ‘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opere segno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’ che 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 xml:space="preserve">dovrebbero </w:t>
      </w:r>
      <w:r>
        <w:rPr>
          <w:rFonts w:ascii="Times New Roman" w:eastAsia="Times New Roman" w:hAnsi="Times New Roman" w:cs="Times New Roman"/>
          <w:sz w:val="28"/>
          <w:szCs w:val="28"/>
        </w:rPr>
        <w:t>crescere nelle diverse zone pastorali.</w:t>
      </w:r>
    </w:p>
    <w:p w:rsidR="008E0B7B" w:rsidRDefault="00685FE4" w:rsidP="00685FE4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Coscienti che Dio è carità, 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 xml:space="preserve">il momento forte di ogni settimana è stato l’incontro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del lunedì, 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>con tutta l’equipe dei responsabili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 xml:space="preserve"> per spezzare la Par</w:t>
      </w:r>
      <w:r>
        <w:rPr>
          <w:rFonts w:ascii="Times New Roman" w:eastAsia="Times New Roman" w:hAnsi="Times New Roman" w:cs="Times New Roman"/>
          <w:sz w:val="28"/>
          <w:szCs w:val="28"/>
        </w:rPr>
        <w:t>ola di Dio e il Pane della vita e prendere collegialmente ogni decisione. S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 xml:space="preserve">enza una relazione profonda ed intima col Signore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non è facile, se non addirittura impossibile, 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>vivere la carità tra di noi e con tutte le persone che la provvidenza mette sul nostro cammino.</w:t>
      </w:r>
    </w:p>
    <w:p w:rsidR="008E0B7B" w:rsidRDefault="00E13E0B">
      <w:pPr>
        <w:pStyle w:val="Nessunaspaziatura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Anche gli incontri diocesani con gli operatori Caritas sono stati caratterizzati 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>da momenti di spiritualità</w:t>
      </w:r>
      <w:r w:rsidR="008E557E">
        <w:rPr>
          <w:rFonts w:ascii="Times New Roman" w:eastAsia="Times New Roman" w:hAnsi="Times New Roman" w:cs="Times New Roman"/>
          <w:sz w:val="28"/>
          <w:szCs w:val="28"/>
        </w:rPr>
        <w:t xml:space="preserve"> come l’incontro di preghiera su madre Teresa di Calcutta </w:t>
      </w:r>
      <w:r w:rsidR="0068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bCs/>
          <w:sz w:val="28"/>
          <w:szCs w:val="28"/>
        </w:rPr>
        <w:t xml:space="preserve">17 novembre ,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l ritiro di quaresima del </w:t>
      </w:r>
      <w:r>
        <w:rPr>
          <w:rFonts w:ascii="Times New Roman" w:eastAsia="Times New Roman" w:hAnsi="Times New Roman" w:cs="Times New Roman"/>
          <w:sz w:val="28"/>
          <w:szCs w:val="28"/>
        </w:rPr>
        <w:t>6 marzo presso il Monastero S. Speranza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e il ritiro di avvento del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4 dicembre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presso la Chiesa Madonna del Suffragio al Ponterotto sul tema “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perseveranti nella prossimità”.  </w:t>
      </w:r>
    </w:p>
    <w:p w:rsidR="008E0B7B" w:rsidRDefault="008E557E">
      <w:pPr>
        <w:pStyle w:val="Nessunaspaziatura"/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lastRenderedPageBreak/>
        <w:t xml:space="preserve">Per quanto riguarda la formazione dei volontari sono stati programmati i seguenti incontri: </w:t>
      </w:r>
      <w:r w:rsidR="00E13E0B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mercoledì 6 aprile 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presso i Padri Sacramentini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testimonianze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su Famiglia e nuove fragilità (dott.ssa Viky Quondamatteo) e carcere (dott.ssa Tallei Stefania); </w:t>
      </w:r>
      <w:r w:rsidR="00E13E0B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Mercoledì 20 aprile 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>col prof. Luciano Eusebi, professore di diritto penale alla Facoltà di Giurisprudenza dell’Università cattolica del Sacro Cuore di Milano, sul tema: “</w:t>
      </w:r>
      <w:r w:rsidR="00E13E0B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La Chiesa della giustizia e della misericordia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>”;</w:t>
      </w:r>
      <w:r w:rsidR="00E13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3E0B">
        <w:rPr>
          <w:rFonts w:ascii="Times New Roman" w:eastAsia="Times New Roman" w:hAnsi="Times New Roman" w:cs="Times New Roman"/>
          <w:bCs/>
          <w:sz w:val="28"/>
          <w:szCs w:val="28"/>
        </w:rPr>
        <w:t xml:space="preserve">lunedì 13 giugno 2016 </w:t>
      </w:r>
      <w:r>
        <w:rPr>
          <w:rFonts w:ascii="Times New Roman" w:eastAsia="Times New Roman" w:hAnsi="Times New Roman" w:cs="Times New Roman"/>
          <w:sz w:val="28"/>
          <w:szCs w:val="28"/>
        </w:rPr>
        <w:t>con la dott.ssa Chiara Verdecchia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3E0B">
        <w:rPr>
          <w:rFonts w:ascii="Times New Roman" w:eastAsia="Times New Roman" w:hAnsi="Times New Roman" w:cs="Times New Roman"/>
          <w:bCs/>
          <w:sz w:val="28"/>
          <w:szCs w:val="28"/>
        </w:rPr>
        <w:t xml:space="preserve">sul 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 xml:space="preserve">tema </w:t>
      </w:r>
      <w:r w:rsidR="00E13E0B"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="00E13E0B">
        <w:rPr>
          <w:rFonts w:ascii="Times New Roman" w:eastAsia="Times New Roman" w:hAnsi="Times New Roman" w:cs="Times New Roman"/>
          <w:i/>
          <w:sz w:val="28"/>
          <w:szCs w:val="28"/>
        </w:rPr>
        <w:t>Accoglienza e autorità nella relazione educativa</w:t>
      </w:r>
      <w:r w:rsidR="00E13E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  <w:r w:rsidR="00E13E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13E0B">
        <w:rPr>
          <w:rFonts w:ascii="Times New Roman" w:hAnsi="Times New Roman" w:cs="Times New Roman"/>
          <w:sz w:val="28"/>
          <w:szCs w:val="28"/>
        </w:rPr>
        <w:t>lunedì 11 luglio presso l’Auditorium della Caritas diocesana sul tema: “</w:t>
      </w:r>
      <w:r w:rsidR="00E13E0B">
        <w:rPr>
          <w:rFonts w:ascii="Times New Roman" w:hAnsi="Times New Roman" w:cs="Times New Roman"/>
          <w:i/>
          <w:sz w:val="28"/>
          <w:szCs w:val="28"/>
        </w:rPr>
        <w:t>Alcolismo e alcolismi, l’importanza dell’accoglienza”</w:t>
      </w:r>
      <w:r w:rsidR="00E13E0B">
        <w:rPr>
          <w:rFonts w:ascii="Times New Roman" w:hAnsi="Times New Roman" w:cs="Times New Roman"/>
          <w:sz w:val="28"/>
          <w:szCs w:val="28"/>
        </w:rPr>
        <w:t xml:space="preserve"> con la dott.ssa Sabrina Vici.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volontari che prestano servizio alla Caritas, escludendo i gruppi che prestano servizio alla mensa e i giovani richiedenti asilo, sono così suddivisi:</w:t>
      </w:r>
    </w:p>
    <w:p w:rsidR="008E0B7B" w:rsidRDefault="008E0B7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 xml:space="preserve">Centro di Ascolto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5 volontari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>Docce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5 volontari (di cui 2 parrucchieri)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>Vestiario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14 volontari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>Amministrazione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4 volontari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>Accoglienza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2 volontari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>Cucina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15 volontari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 xml:space="preserve">Viveri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  <w:t>6 volontari</w:t>
      </w:r>
    </w:p>
    <w:p w:rsidR="008E0B7B" w:rsidRDefault="00E13E0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 xml:space="preserve">Poliambulatorio 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ab/>
      </w:r>
      <w:r w:rsidRPr="008E557E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shd w:val="clear" w:color="auto" w:fill="FFFF00"/>
        </w:rPr>
        <w:t>24 volontari</w:t>
      </w:r>
    </w:p>
    <w:p w:rsidR="008E0B7B" w:rsidRDefault="008E0B7B">
      <w:pPr>
        <w:pStyle w:val="Nessunaspaziatur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</w:pPr>
    </w:p>
    <w:p w:rsidR="008E0B7B" w:rsidRDefault="00E13E0B">
      <w:pPr>
        <w:pStyle w:val="Nessunaspaziatura"/>
        <w:spacing w:line="276" w:lineRule="auto"/>
        <w:jc w:val="both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A questi si aggiungono le quattro suore del Piccolo Fiore di Betania, Suor Smitha, Suor Vigea, Suor Adù e suor Tharsii che svolgono anche un lavoro di coordinamento. </w:t>
      </w:r>
      <w:r w:rsidR="008E557E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Importante </w:t>
      </w:r>
      <w:r w:rsidR="008E557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  <w:t xml:space="preserve">è </w:t>
      </w:r>
      <w:r w:rsidRPr="008E557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  <w:t>anche l</w:t>
      </w:r>
      <w:r w:rsidRP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a collaborazione con </w:t>
      </w:r>
      <w:r w:rsid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‘</w:t>
      </w:r>
      <w:r w:rsidRP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Casa Lella</w:t>
      </w:r>
      <w:r w:rsid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’ che ci ha permesso di incrociare </w:t>
      </w:r>
      <w:r w:rsidRP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volti, storie, </w:t>
      </w:r>
      <w:r w:rsid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nomi provenienti da tante parti del mondo, in modo particolare le più povere, così da condividere </w:t>
      </w:r>
      <w:r w:rsidRP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lacrime e sorrisi, </w:t>
      </w:r>
      <w:r w:rsid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gioie e speranze, </w:t>
      </w:r>
      <w:r w:rsidRP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che ci hanno aiutato a non cadere nella logica razzista che purtroppo </w:t>
      </w:r>
      <w:r w:rsid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oggi, scandalosamente, </w:t>
      </w:r>
      <w:r w:rsidRPr="008E557E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contagia anche tanti cristiani.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 xml:space="preserve"> </w:t>
      </w:r>
      <w:r w:rsidR="008E557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E’ bello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scoprire la bellezza della diversità e nello stesso tempo della similitudine: siamo tutti figli di Dio, abbiamo gli stessi sentimenti</w:t>
      </w:r>
      <w:r w:rsidR="008E557E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, le stesse passioni e preoccupazioni che ci permettono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di vivere la </w:t>
      </w:r>
      <w:r w:rsidRPr="008E557E">
        <w:rPr>
          <w:rFonts w:ascii="Times New Roman" w:eastAsia="Times New Roman" w:hAnsi="Times New Roman" w:cs="Times New Roman"/>
          <w:bCs/>
          <w:i/>
          <w:kern w:val="0"/>
          <w:sz w:val="28"/>
          <w:szCs w:val="28"/>
        </w:rPr>
        <w:t>‘convivialità’ delle differenze</w:t>
      </w:r>
      <w:r w:rsidR="008E557E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per dirlo con un espressione di don Tonino Bello.</w:t>
      </w:r>
    </w:p>
    <w:p w:rsidR="008E0B7B" w:rsidRDefault="00E13E0B">
      <w:pPr>
        <w:pStyle w:val="Nessunaspaziatura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L’anno 2016 è stato caratterizzato anche dalla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riattivazione del servizio civile</w:t>
      </w:r>
      <w:r>
        <w:rPr>
          <w:rFonts w:ascii="Times New Roman" w:hAnsi="Times New Roman" w:cs="Times New Roman"/>
          <w:sz w:val="28"/>
          <w:szCs w:val="28"/>
        </w:rPr>
        <w:t xml:space="preserve"> con il progetto “</w:t>
      </w:r>
      <w:r>
        <w:rPr>
          <w:rFonts w:ascii="Times New Roman" w:hAnsi="Times New Roman" w:cs="Times New Roman"/>
          <w:i/>
          <w:iCs/>
          <w:sz w:val="28"/>
          <w:szCs w:val="28"/>
        </w:rPr>
        <w:t>Tendo una mano S. Benedetto</w:t>
      </w:r>
      <w:r w:rsidR="008E557E">
        <w:rPr>
          <w:rFonts w:ascii="Times New Roman" w:hAnsi="Times New Roman" w:cs="Times New Roman"/>
          <w:sz w:val="28"/>
          <w:szCs w:val="28"/>
        </w:rPr>
        <w:t>” che ha assicurato</w:t>
      </w:r>
      <w:r>
        <w:rPr>
          <w:rFonts w:ascii="Times New Roman" w:hAnsi="Times New Roman" w:cs="Times New Roman"/>
          <w:sz w:val="28"/>
          <w:szCs w:val="28"/>
        </w:rPr>
        <w:t xml:space="preserve"> la presenza di 4 giovani </w:t>
      </w:r>
      <w:r w:rsidR="008E557E">
        <w:rPr>
          <w:rFonts w:ascii="Times New Roman" w:hAnsi="Times New Roman" w:cs="Times New Roman"/>
          <w:sz w:val="28"/>
          <w:szCs w:val="28"/>
        </w:rPr>
        <w:t xml:space="preserve">formati e competenti, </w:t>
      </w:r>
      <w:r>
        <w:rPr>
          <w:rFonts w:ascii="Times New Roman" w:hAnsi="Times New Roman" w:cs="Times New Roman"/>
          <w:sz w:val="28"/>
          <w:szCs w:val="28"/>
        </w:rPr>
        <w:t>per 30 ore settimanali ciascuno</w:t>
      </w:r>
      <w:r w:rsidR="008E557E">
        <w:rPr>
          <w:rFonts w:ascii="Times New Roman" w:hAnsi="Times New Roman" w:cs="Times New Roman"/>
          <w:sz w:val="28"/>
          <w:szCs w:val="28"/>
        </w:rPr>
        <w:t xml:space="preserve">, che oltre a portare una ventata di giovinezza ed assicurare una presenza nei vari servizi, </w:t>
      </w:r>
      <w:r>
        <w:rPr>
          <w:rFonts w:ascii="Times New Roman" w:hAnsi="Times New Roman" w:cs="Times New Roman"/>
          <w:sz w:val="28"/>
          <w:szCs w:val="28"/>
        </w:rPr>
        <w:t>hanno perme</w:t>
      </w:r>
      <w:r w:rsidR="008E557E">
        <w:rPr>
          <w:rFonts w:ascii="Times New Roman" w:hAnsi="Times New Roman" w:cs="Times New Roman"/>
          <w:sz w:val="28"/>
          <w:szCs w:val="28"/>
        </w:rPr>
        <w:t>sso di mettere a regime l’Ospo, l’osservatorio delle risorse e delle povertà.</w:t>
      </w:r>
    </w:p>
    <w:p w:rsidR="008E0B7B" w:rsidRDefault="008E557E">
      <w:pPr>
        <w:pStyle w:val="Nessunaspaziatura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Certamente c</w:t>
      </w:r>
      <w:r w:rsidR="00E13E0B">
        <w:rPr>
          <w:rFonts w:ascii="Times New Roman" w:hAnsi="Times New Roman" w:cs="Times New Roman"/>
          <w:sz w:val="28"/>
          <w:szCs w:val="28"/>
        </w:rPr>
        <w:t xml:space="preserve">iò che ha caratterizzato l’impegno della Caritas da agosto </w:t>
      </w:r>
      <w:r>
        <w:rPr>
          <w:rFonts w:ascii="Times New Roman" w:hAnsi="Times New Roman" w:cs="Times New Roman"/>
          <w:sz w:val="28"/>
          <w:szCs w:val="28"/>
        </w:rPr>
        <w:t xml:space="preserve">in poi è stata </w:t>
      </w:r>
      <w:r w:rsidR="00E13E0B">
        <w:rPr>
          <w:rFonts w:ascii="Times New Roman" w:hAnsi="Times New Roman" w:cs="Times New Roman"/>
          <w:sz w:val="28"/>
          <w:szCs w:val="28"/>
        </w:rPr>
        <w:t xml:space="preserve"> “</w:t>
      </w:r>
      <w:r w:rsidR="00E13E0B">
        <w:rPr>
          <w:rFonts w:ascii="Times New Roman" w:hAnsi="Times New Roman" w:cs="Times New Roman"/>
          <w:i/>
          <w:iCs/>
          <w:sz w:val="28"/>
          <w:szCs w:val="28"/>
        </w:rPr>
        <w:t>la tragedia del sisma”</w:t>
      </w:r>
      <w:r w:rsidR="00E13E0B">
        <w:rPr>
          <w:rFonts w:ascii="Times New Roman" w:hAnsi="Times New Roman" w:cs="Times New Roman"/>
          <w:sz w:val="28"/>
          <w:szCs w:val="28"/>
        </w:rPr>
        <w:t xml:space="preserve"> che ha colpito il Centro Italia e si è fatto sentire ancora </w:t>
      </w:r>
      <w:r w:rsidR="00E13E0B">
        <w:rPr>
          <w:rFonts w:ascii="Times New Roman" w:hAnsi="Times New Roman" w:cs="Times New Roman"/>
          <w:sz w:val="28"/>
          <w:szCs w:val="28"/>
        </w:rPr>
        <w:lastRenderedPageBreak/>
        <w:t>più forte nelle nostre zone nel mese di ottobre. Si è attivata subito “</w:t>
      </w:r>
      <w:r w:rsidR="00E13E0B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una strategia di intervento”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per una vicinanza alle diverse comunità accolte sulla costa,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i certi periodi 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>molto numerose, e alle parrocchie dell’entroter</w:t>
      </w:r>
      <w:r w:rsidR="002B20A3">
        <w:rPr>
          <w:rFonts w:ascii="Times New Roman" w:eastAsia="Times New Roman" w:hAnsi="Times New Roman" w:cs="Times New Roman"/>
          <w:kern w:val="0"/>
          <w:sz w:val="28"/>
          <w:szCs w:val="28"/>
        </w:rPr>
        <w:t>ra con i centri storici chiusi e le</w:t>
      </w:r>
      <w:r w:rsidR="00E13E0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diverse case lesionate. Sono stati formati gruppi di volontari nei territori di accoglienza sulla costa e proposti dei gemellaggi per la zona interna. I </w:t>
      </w:r>
      <w:r w:rsidR="00E13E0B">
        <w:rPr>
          <w:rFonts w:ascii="Times New Roman" w:hAnsi="Times New Roman" w:cs="Times New Roman"/>
          <w:sz w:val="28"/>
          <w:szCs w:val="28"/>
        </w:rPr>
        <w:t>preti e le Caritas parrocchiali hanno cercato di fare una prima mappatura, grazie alla disponibilità della protezione civile e delle strutture ricettive.</w:t>
      </w:r>
    </w:p>
    <w:p w:rsidR="008E0B7B" w:rsidRDefault="00E13E0B">
      <w:pPr>
        <w:pStyle w:val="Nessunaspaziatura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2B20A3">
        <w:rPr>
          <w:rFonts w:ascii="Times New Roman" w:hAnsi="Times New Roman" w:cs="Times New Roman"/>
          <w:sz w:val="28"/>
          <w:szCs w:val="28"/>
        </w:rPr>
        <w:t xml:space="preserve">avere un’idea nel periodo dopo il terremoto di ottobre per </w:t>
      </w:r>
      <w:r>
        <w:rPr>
          <w:rFonts w:ascii="Times New Roman" w:hAnsi="Times New Roman" w:cs="Times New Roman"/>
          <w:sz w:val="28"/>
          <w:szCs w:val="28"/>
        </w:rPr>
        <w:t xml:space="preserve">quanto riguarda l’accoglienza sulla costa, la situazione, </w:t>
      </w:r>
      <w:r w:rsidR="002B20A3">
        <w:rPr>
          <w:rFonts w:ascii="Times New Roman" w:hAnsi="Times New Roman" w:cs="Times New Roman"/>
          <w:sz w:val="28"/>
          <w:szCs w:val="28"/>
        </w:rPr>
        <w:t xml:space="preserve">sebbene </w:t>
      </w:r>
      <w:r>
        <w:rPr>
          <w:rFonts w:ascii="Times New Roman" w:hAnsi="Times New Roman" w:cs="Times New Roman"/>
          <w:sz w:val="28"/>
          <w:szCs w:val="28"/>
        </w:rPr>
        <w:t>soggetta a continue variazione,</w:t>
      </w:r>
      <w:r w:rsidR="002B20A3">
        <w:rPr>
          <w:rFonts w:ascii="Times New Roman" w:hAnsi="Times New Roman" w:cs="Times New Roman"/>
          <w:sz w:val="28"/>
          <w:szCs w:val="28"/>
        </w:rPr>
        <w:t xml:space="preserve"> era la sguente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Zona di Martinsicuro </w:t>
      </w:r>
      <w:r w:rsidR="002B20A3">
        <w:rPr>
          <w:rFonts w:ascii="Times New Roman" w:hAnsi="Times New Roman" w:cs="Times New Roman"/>
          <w:sz w:val="28"/>
          <w:szCs w:val="28"/>
        </w:rPr>
        <w:t>circa 950/1000 persone</w:t>
      </w:r>
    </w:p>
    <w:p w:rsidR="008E0B7B" w:rsidRDefault="00E13E0B" w:rsidP="002B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Zona di Porto d’Ascoli </w:t>
      </w:r>
      <w:r w:rsidR="002B20A3">
        <w:rPr>
          <w:rFonts w:ascii="Times New Roman" w:hAnsi="Times New Roman" w:cs="Times New Roman"/>
          <w:sz w:val="28"/>
          <w:szCs w:val="28"/>
        </w:rPr>
        <w:t>circa 500 persone</w:t>
      </w:r>
    </w:p>
    <w:p w:rsidR="002B20A3" w:rsidRDefault="002B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Zona San Benedetto circa 400 person</w:t>
      </w:r>
    </w:p>
    <w:p w:rsidR="008E0B7B" w:rsidRDefault="00E13E0B" w:rsidP="002B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Zona Grottammare </w:t>
      </w:r>
      <w:r w:rsidR="002B20A3">
        <w:rPr>
          <w:rFonts w:ascii="Times New Roman" w:hAnsi="Times New Roman" w:cs="Times New Roman"/>
          <w:sz w:val="28"/>
          <w:szCs w:val="28"/>
        </w:rPr>
        <w:t>circa 600 persone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quanto riguarda la zona interna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Montemonaco: chiuso il centro storico e quasi tutte le frazioni. Circa 50 persone in strutture sulla costa; alcune ospitate a Casa Gioiosa. </w:t>
      </w:r>
      <w:r w:rsidR="002B20A3">
        <w:rPr>
          <w:rFonts w:ascii="Times New Roman" w:hAnsi="Times New Roman" w:cs="Times New Roman"/>
          <w:sz w:val="28"/>
          <w:szCs w:val="28"/>
        </w:rPr>
        <w:t>‘G</w:t>
      </w:r>
      <w:r>
        <w:rPr>
          <w:rFonts w:ascii="Times New Roman" w:hAnsi="Times New Roman" w:cs="Times New Roman"/>
          <w:sz w:val="28"/>
          <w:szCs w:val="28"/>
        </w:rPr>
        <w:t>emellaggio’ con le comunità parrocchiali di Grottammare.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For</w:t>
      </w:r>
      <w:r w:rsidR="002B20A3">
        <w:rPr>
          <w:rFonts w:ascii="Times New Roman" w:hAnsi="Times New Roman" w:cs="Times New Roman"/>
          <w:sz w:val="28"/>
          <w:szCs w:val="28"/>
        </w:rPr>
        <w:t>ce: centro storico chiuso,</w:t>
      </w:r>
      <w:r>
        <w:rPr>
          <w:rFonts w:ascii="Times New Roman" w:hAnsi="Times New Roman" w:cs="Times New Roman"/>
          <w:sz w:val="28"/>
          <w:szCs w:val="28"/>
        </w:rPr>
        <w:t xml:space="preserve"> la casa canonica lesionata. Circa 200 persone in palestra. </w:t>
      </w:r>
      <w:r w:rsidR="002B20A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emellaggio con l’Azione Cattolica diocesana.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Rotella: il centro storico chiuso, una decina di anziani in una struttura del comune. Gemellaggio con la Parrocchia di Rho.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Comunanza: centro storico in parte chiuso, tantissimi ogni sera scendono sulla costa.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Cossignano: centro chiuso, 17 ordinanze di sgombero immediato.</w:t>
      </w:r>
    </w:p>
    <w:p w:rsidR="008E0B7B" w:rsidRDefault="00E1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Montelpar</w:t>
      </w:r>
      <w:r w:rsidR="002B20A3">
        <w:rPr>
          <w:rFonts w:ascii="Times New Roman" w:hAnsi="Times New Roman" w:cs="Times New Roman"/>
          <w:sz w:val="28"/>
          <w:szCs w:val="28"/>
        </w:rPr>
        <w:t>o, Colonnella, Castignano, Mont</w:t>
      </w:r>
      <w:r>
        <w:rPr>
          <w:rFonts w:ascii="Times New Roman" w:hAnsi="Times New Roman" w:cs="Times New Roman"/>
          <w:sz w:val="28"/>
          <w:szCs w:val="28"/>
        </w:rPr>
        <w:t>elparo….e altri comuni regis</w:t>
      </w:r>
      <w:r w:rsidR="002B20A3">
        <w:rPr>
          <w:rFonts w:ascii="Times New Roman" w:hAnsi="Times New Roman" w:cs="Times New Roman"/>
          <w:sz w:val="28"/>
          <w:szCs w:val="28"/>
        </w:rPr>
        <w:t>trano danni a chiese e strutture.</w:t>
      </w:r>
    </w:p>
    <w:p w:rsidR="002B20A3" w:rsidRDefault="002B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L’impegno ad una vicinanza discreta e una prossimità alle comunità colpite dal sisma e alle persone più deboli a livello socio-economico continua anche attraverso i gemellaggi attivati da Caritas italiana, sulla costa con la delegazione della Puglia per quanto riguarda la popolazione di Accumoli-Amatrice e nella zona interna con le delegazione della Calabria e del Piemonte per le comunità dell’entroterra.</w:t>
      </w:r>
    </w:p>
    <w:p w:rsidR="008E0B7B" w:rsidRDefault="008E0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7B" w:rsidRDefault="00E13E0B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lettera pastorale per il 2016/17 </w:t>
      </w:r>
      <w:r>
        <w:rPr>
          <w:rFonts w:ascii="Times New Roman" w:eastAsia="Times New Roman" w:hAnsi="Times New Roman" w:cs="Times New Roman"/>
          <w:sz w:val="28"/>
          <w:szCs w:val="28"/>
        </w:rPr>
        <w:t>il vescovo scrive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“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Gli Atti degli  Apostoli non si limitano a dire che i primi cristiani erano perseveranti nella comunione, ma dice anche come vivevano quella comunione fatta non solo di parole , ma di concreti modi di condivisione capaci di toccare anche i beni materiali che ciascuno possedeva…se la comunione affettiva non diventa anche effettiva, l’amore del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prossimo rischia di ridursi a vuote ingannatrici parole consolatorie. Quando l’amore non arriva a toccare il portafoglio, ovviamente secondo le reali possibilità di ciascuno e tenuto conto dei doveri primari nei confronti della famiglia, si è come il sacerdote e il levita che non si accorgono nemmeno del viandante percosso dai briganti, abbandonato sulla strada e che implora aiuto (cfr Lc 10,29-37)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(p.16-17).</w:t>
      </w:r>
    </w:p>
    <w:p w:rsidR="008E0B7B" w:rsidRDefault="00E13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proposito la Caritas diocesana ha versato a Caritas italiana Euro 50,273.77 raccolti nella parrocchie nella giornata della colletta indetta dalla CEI il 18 settembre 2016. Il Vescovo ha versato per conto di Caritas italiana alla Caritas diocesana </w:t>
      </w:r>
      <w:r w:rsidR="002B20A3">
        <w:rPr>
          <w:rFonts w:ascii="Times New Roman" w:hAnsi="Times New Roman" w:cs="Times New Roman"/>
          <w:sz w:val="28"/>
          <w:szCs w:val="28"/>
        </w:rPr>
        <w:t xml:space="preserve">un primo acconto di </w:t>
      </w:r>
      <w:r>
        <w:rPr>
          <w:rFonts w:ascii="Times New Roman" w:hAnsi="Times New Roman" w:cs="Times New Roman"/>
          <w:sz w:val="28"/>
          <w:szCs w:val="28"/>
        </w:rPr>
        <w:t>Euro 10.000,00. Nelle parrocchie poi sono stati raccolti euro 3.523,16 per l’Avvento 2016 ed euro 10.753,00 per la quaresima2016.</w:t>
      </w:r>
    </w:p>
    <w:p w:rsidR="008E0B7B" w:rsidRDefault="00E13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Sempre nel 2016 a fronte di situazioni di emergenza la Caritas diocesana ha distribuito ad alcune famiglie e comunità colpite dal sisma  Euro 15.130,00.</w:t>
      </w:r>
    </w:p>
    <w:p w:rsidR="008E0B7B" w:rsidRDefault="00E13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2017 il Vescovo ha versato sempre dal fondo di C</w:t>
      </w:r>
      <w:r w:rsidR="00316DAF">
        <w:rPr>
          <w:rFonts w:ascii="Times New Roman" w:hAnsi="Times New Roman" w:cs="Times New Roman"/>
          <w:sz w:val="28"/>
          <w:szCs w:val="28"/>
        </w:rPr>
        <w:t xml:space="preserve">aritas italiana euro 20.000,00 e  </w:t>
      </w:r>
      <w:r>
        <w:rPr>
          <w:rFonts w:ascii="Times New Roman" w:hAnsi="Times New Roman" w:cs="Times New Roman"/>
          <w:sz w:val="28"/>
          <w:szCs w:val="28"/>
        </w:rPr>
        <w:t>la di</w:t>
      </w:r>
      <w:r w:rsidR="00316DAF">
        <w:rPr>
          <w:rFonts w:ascii="Times New Roman" w:hAnsi="Times New Roman" w:cs="Times New Roman"/>
          <w:sz w:val="28"/>
          <w:szCs w:val="28"/>
        </w:rPr>
        <w:t xml:space="preserve">ocesi di Urbino euro 11.000,00 </w:t>
      </w:r>
      <w:r>
        <w:rPr>
          <w:rFonts w:ascii="Times New Roman" w:hAnsi="Times New Roman" w:cs="Times New Roman"/>
          <w:sz w:val="28"/>
          <w:szCs w:val="28"/>
        </w:rPr>
        <w:t>destinate alla tenda di Cossignano per la quale abbiamo versato euro 4.027,00, presi dalla ra</w:t>
      </w:r>
      <w:r w:rsidR="00316DAF">
        <w:rPr>
          <w:rFonts w:ascii="Times New Roman" w:hAnsi="Times New Roman" w:cs="Times New Roman"/>
          <w:sz w:val="28"/>
          <w:szCs w:val="28"/>
        </w:rPr>
        <w:t>ccolta delle nostre parrocchie</w:t>
      </w:r>
      <w:r>
        <w:rPr>
          <w:rFonts w:ascii="Times New Roman" w:hAnsi="Times New Roman" w:cs="Times New Roman"/>
          <w:sz w:val="28"/>
          <w:szCs w:val="28"/>
        </w:rPr>
        <w:t>. Nella quaresima di carità 2017 sono stati raccolti  Euro 7.925,65 finalizzati a progetti presentati dalle comunità colpite dal sisma.</w:t>
      </w:r>
    </w:p>
    <w:p w:rsidR="008E0B7B" w:rsidRDefault="00E13E0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Nel 2017 sono stati spesi euro 19.713,80 per venire incontro ad alcune necessità di famiglie e comunità colpite dal sisma. Altri interventi sono stati fatti personalmente dal Vescovo. </w:t>
      </w:r>
      <w:r w:rsidR="00316DAF">
        <w:rPr>
          <w:rFonts w:ascii="Times New Roman" w:hAnsi="Times New Roman" w:cs="Times New Roman"/>
          <w:sz w:val="28"/>
          <w:szCs w:val="28"/>
        </w:rPr>
        <w:t xml:space="preserve"> Tra le altre cose </w:t>
      </w:r>
      <w:r w:rsidR="00316DAF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  <w:t>18 maggio 2016 la nostra diocesi ha partecipato 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</w:rPr>
        <w:t xml:space="preserve">colletta pro Ucraina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</w:rPr>
        <w:t xml:space="preserve">inviando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</w:rPr>
        <w:t>euro 6.506,97.</w:t>
      </w:r>
    </w:p>
    <w:p w:rsidR="008E0B7B" w:rsidRDefault="008E0B7B">
      <w:pPr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it-IT"/>
        </w:rPr>
      </w:pPr>
    </w:p>
    <w:p w:rsidR="008E0B7B" w:rsidRDefault="008E0B7B">
      <w:pPr>
        <w:jc w:val="both"/>
        <w:rPr>
          <w:rFonts w:ascii="Times New Roman" w:hAnsi="Times New Roman" w:cs="Times New Roman"/>
          <w:b/>
        </w:rPr>
      </w:pPr>
    </w:p>
    <w:p w:rsidR="008E0B7B" w:rsidRDefault="00E13E0B">
      <w:pPr>
        <w:pStyle w:val="Paragrafoelenco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SERVIZI ALLA PERSONA</w:t>
      </w:r>
    </w:p>
    <w:p w:rsidR="008E0B7B" w:rsidRDefault="00E13E0B">
      <w:pPr>
        <w:pBdr>
          <w:bottom w:val="single" w:sz="4" w:space="1" w:color="00000A"/>
        </w:pBdr>
        <w:jc w:val="both"/>
      </w:pPr>
      <w:r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  <w:b/>
        </w:rPr>
        <w:t>OsPo (OSSERVAZIONE DELLE RISORSE E DELLE POVERTÀ)</w:t>
      </w:r>
    </w:p>
    <w:p w:rsidR="008E0B7B" w:rsidRDefault="007B3EAD">
      <w:pPr>
        <w:pStyle w:val="Nessunaspaziatura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L’OsPo </w:t>
      </w:r>
      <w:r>
        <w:rPr>
          <w:rFonts w:ascii="Times New Roman" w:hAnsi="Times New Roman" w:cs="Times New Roman"/>
          <w:sz w:val="28"/>
          <w:szCs w:val="28"/>
        </w:rPr>
        <w:t>s</w:t>
      </w:r>
      <w:r w:rsidR="00E13E0B">
        <w:rPr>
          <w:rFonts w:ascii="Times New Roman" w:hAnsi="Times New Roman" w:cs="Times New Roman"/>
          <w:sz w:val="28"/>
          <w:szCs w:val="28"/>
        </w:rPr>
        <w:t xml:space="preserve">i occupa di raccogliere ed elaborare i dati relativi agli utenti che si rivolgono alla Caritas Diocesana e alle Caritas Parrocchiali con l’obiettivo di </w:t>
      </w:r>
      <w:r>
        <w:rPr>
          <w:rFonts w:ascii="Times New Roman" w:hAnsi="Times New Roman" w:cs="Times New Roman"/>
          <w:sz w:val="28"/>
          <w:szCs w:val="28"/>
        </w:rPr>
        <w:t>leggere la realtà della povertà ma anche delle risorse presenti sul territorio</w:t>
      </w:r>
      <w:r w:rsidR="00E13E0B">
        <w:rPr>
          <w:rFonts w:ascii="Times New Roman" w:hAnsi="Times New Roman" w:cs="Times New Roman"/>
          <w:sz w:val="28"/>
          <w:szCs w:val="28"/>
        </w:rPr>
        <w:t xml:space="preserve">. Riportiamo alcuni dati interessanti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="00E13E0B">
        <w:rPr>
          <w:rFonts w:ascii="Times New Roman" w:hAnsi="Times New Roman" w:cs="Times New Roman"/>
          <w:sz w:val="28"/>
          <w:szCs w:val="28"/>
        </w:rPr>
        <w:t>dall’ aprile 2016 al 31.12.2016 e che riguardano la Caritas diocesana in quanto la rete delle Caritas parrocchiali non è ancora completa.</w:t>
      </w:r>
    </w:p>
    <w:p w:rsidR="008E0B7B" w:rsidRDefault="008E0B7B">
      <w:pPr>
        <w:widowControl/>
        <w:jc w:val="both"/>
        <w:rPr>
          <w:rFonts w:ascii="Times New Roman" w:hAnsi="Times New Roman" w:cs="Times New Roman"/>
          <w:color w:val="00000A"/>
          <w:sz w:val="28"/>
          <w:szCs w:val="28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SESSO:</w:t>
      </w:r>
    </w:p>
    <w:tbl>
      <w:tblPr>
        <w:tblW w:w="373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108"/>
        <w:gridCol w:w="960"/>
      </w:tblGrid>
      <w:tr w:rsidR="008E0B7B">
        <w:tc>
          <w:tcPr>
            <w:tcW w:w="166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Sesso</w:t>
            </w:r>
          </w:p>
        </w:tc>
        <w:tc>
          <w:tcPr>
            <w:tcW w:w="110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96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166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Femminile</w:t>
            </w:r>
          </w:p>
        </w:tc>
        <w:tc>
          <w:tcPr>
            <w:tcW w:w="11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481</w:t>
            </w:r>
          </w:p>
        </w:tc>
        <w:tc>
          <w:tcPr>
            <w:tcW w:w="96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54,7</w:t>
            </w:r>
          </w:p>
        </w:tc>
      </w:tr>
      <w:tr w:rsidR="008E0B7B">
        <w:tc>
          <w:tcPr>
            <w:tcW w:w="166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Maschile</w:t>
            </w:r>
          </w:p>
        </w:tc>
        <w:tc>
          <w:tcPr>
            <w:tcW w:w="11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399</w:t>
            </w:r>
          </w:p>
        </w:tc>
        <w:tc>
          <w:tcPr>
            <w:tcW w:w="96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45,3</w:t>
            </w:r>
          </w:p>
        </w:tc>
      </w:tr>
      <w:tr w:rsidR="008E0B7B" w:rsidTr="007B3EAD">
        <w:tc>
          <w:tcPr>
            <w:tcW w:w="1667" w:type="dxa"/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108" w:type="dxa"/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960" w:type="dxa"/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  <w:tr w:rsidR="007B3EAD">
        <w:tc>
          <w:tcPr>
            <w:tcW w:w="166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3EAD" w:rsidRDefault="007B3EAD">
            <w:pPr>
              <w:widowControl/>
              <w:spacing w:line="240" w:lineRule="auto"/>
              <w:rPr>
                <w:rFonts w:ascii="Times New Roman" w:hAnsi="Times New Roman" w:cs="Verdana"/>
                <w:b/>
                <w:bCs/>
                <w:color w:val="1A1A1A"/>
              </w:rPr>
            </w:pPr>
          </w:p>
        </w:tc>
        <w:tc>
          <w:tcPr>
            <w:tcW w:w="110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3EAD" w:rsidRDefault="007B3EAD">
            <w:pPr>
              <w:widowControl/>
              <w:spacing w:line="240" w:lineRule="auto"/>
              <w:rPr>
                <w:rFonts w:ascii="Times New Roman" w:hAnsi="Times New Roman" w:cs="Verdana"/>
                <w:color w:val="1A1A1A"/>
              </w:rPr>
            </w:pPr>
          </w:p>
        </w:tc>
        <w:tc>
          <w:tcPr>
            <w:tcW w:w="96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B3EAD" w:rsidRDefault="007B3EAD">
            <w:pPr>
              <w:widowControl/>
              <w:spacing w:line="240" w:lineRule="auto"/>
              <w:rPr>
                <w:rFonts w:ascii="Times New Roman" w:hAnsi="Times New Roman" w:cs="Verdana"/>
                <w:color w:val="1A1A1A"/>
              </w:rPr>
            </w:pP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lastRenderedPageBreak/>
        <w:t>NUMERO DI PERSONE CENSITE PER CITTADINANZA:</w:t>
      </w:r>
    </w:p>
    <w:tbl>
      <w:tblPr>
        <w:tblW w:w="526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1084"/>
        <w:gridCol w:w="1020"/>
      </w:tblGrid>
      <w:tr w:rsidR="008E0B7B">
        <w:tc>
          <w:tcPr>
            <w:tcW w:w="3161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Cittadinanza</w:t>
            </w:r>
          </w:p>
        </w:tc>
        <w:tc>
          <w:tcPr>
            <w:tcW w:w="108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316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8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317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36,0</w:t>
            </w:r>
          </w:p>
        </w:tc>
      </w:tr>
      <w:tr w:rsidR="008E0B7B">
        <w:tc>
          <w:tcPr>
            <w:tcW w:w="316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Cittadinanza Italiana</w:t>
            </w:r>
          </w:p>
        </w:tc>
        <w:tc>
          <w:tcPr>
            <w:tcW w:w="108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191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21,7</w:t>
            </w:r>
          </w:p>
        </w:tc>
      </w:tr>
      <w:tr w:rsidR="008E0B7B">
        <w:tc>
          <w:tcPr>
            <w:tcW w:w="316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Cittadinanza non Italiana</w:t>
            </w:r>
          </w:p>
        </w:tc>
        <w:tc>
          <w:tcPr>
            <w:tcW w:w="108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370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42,0</w:t>
            </w:r>
          </w:p>
        </w:tc>
      </w:tr>
      <w:tr w:rsidR="008E0B7B">
        <w:tc>
          <w:tcPr>
            <w:tcW w:w="316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Doppia cittadinanza</w:t>
            </w:r>
          </w:p>
        </w:tc>
        <w:tc>
          <w:tcPr>
            <w:tcW w:w="108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3161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8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FASCIA DI ETA’:</w:t>
      </w:r>
    </w:p>
    <w:tbl>
      <w:tblPr>
        <w:tblW w:w="385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127"/>
        <w:gridCol w:w="1020"/>
      </w:tblGrid>
      <w:tr w:rsidR="008E0B7B">
        <w:tc>
          <w:tcPr>
            <w:tcW w:w="170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Classe di eta'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0 - 4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10 - 14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15 - 18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1,0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19 - 24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62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7,0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25 - 34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178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20,2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35 - 44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199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22,6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45 - 54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229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26,0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55 - 64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133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15,1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65 - 74 anni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42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4,8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75 e oltre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2,2</w:t>
            </w:r>
          </w:p>
        </w:tc>
      </w:tr>
      <w:tr w:rsidR="008E0B7B">
        <w:tc>
          <w:tcPr>
            <w:tcW w:w="170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12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102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NAZIONE DI PROVENIENZA:</w:t>
      </w:r>
    </w:p>
    <w:tbl>
      <w:tblPr>
        <w:tblW w:w="618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1011"/>
        <w:gridCol w:w="855"/>
      </w:tblGrid>
      <w:tr w:rsidR="008E0B7B">
        <w:tc>
          <w:tcPr>
            <w:tcW w:w="431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Cittadinanza Straniera: nazione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317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36,0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AFGANISTAN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ALBANIA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ALGERIA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ANGOLA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ARGENTINA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BANGLADESH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BELGIO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BIELORUSSIA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BRASILE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BULGARIA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0,8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CAMERUN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COLOMBIA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CONGO, REP.DEM. (EX ZAIRE)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COSTA D'AVORIO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CUBA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0,5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DOMINICANA, REPUBBLICA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EGITTO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ERITREA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lastRenderedPageBreak/>
              <w:t>ETIOPIA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FILIPPINE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GAMBIA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GHANA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INDIA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15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1,7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ITALIA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21,7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KAZAKISTAN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KENIA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LITUANIA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MACEDONIA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MAROCCO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9,4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MAURIZIO-MAURITIUS, ISOLE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NIGER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NIGERIA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36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PAKISTAN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PALESTINA, TERRITORI OCCUPATI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POLONIA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1,3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ROMANIA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35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4,0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RUSSIA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SENEGAL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18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2,0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SOMALIA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SRI LANKA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TANZANIA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TOGO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TUNISIA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2,2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UCRAINA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1,9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UNGHERIA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VENEZUELA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431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CONDIZIONE ALLOGIATIVA:</w:t>
      </w:r>
    </w:p>
    <w:p w:rsidR="008E0B7B" w:rsidRDefault="008E0B7B">
      <w:pPr>
        <w:widowControl/>
        <w:jc w:val="both"/>
      </w:pPr>
    </w:p>
    <w:tbl>
      <w:tblPr>
        <w:tblW w:w="828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007"/>
        <w:gridCol w:w="855"/>
      </w:tblGrid>
      <w:tr w:rsidR="008E0B7B">
        <w:tc>
          <w:tcPr>
            <w:tcW w:w="641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Condizione alloggiativa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[No Value]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659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75,9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Privo di abitazione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18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2,1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Domicilio di fortuna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18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2,1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Dorme in macchina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Roulotte (non in campo autorizzato)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 abbandonata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Ospite da amici o parenti temporaneamente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lastRenderedPageBreak/>
              <w:t>Centro di accoglienza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 in proprieta' con mutuo in essere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16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1,8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 in proprietà con mutuo estinto/nuda proprietà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1,2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 in affitto da privato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10,0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 in affitto da ente pubbl.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14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1,6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 in comodato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Coabitazione con il datore di lavoro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Alloggio legato al servizio prestato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Ospite da amici o parenti stabilmente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15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1,7</w:t>
            </w:r>
          </w:p>
        </w:tc>
      </w:tr>
      <w:tr w:rsidR="008E0B7B">
        <w:tc>
          <w:tcPr>
            <w:tcW w:w="641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0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CONDIZIONE PROFESSIONALE:</w:t>
      </w:r>
    </w:p>
    <w:tbl>
      <w:tblPr>
        <w:tblW w:w="828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7"/>
        <w:gridCol w:w="1018"/>
        <w:gridCol w:w="855"/>
      </w:tblGrid>
      <w:tr w:rsidR="008E0B7B">
        <w:tc>
          <w:tcPr>
            <w:tcW w:w="640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Condizione professionale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637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72,4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Occupato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Disoccupato in cerca di NUOVA/PRIMA occupazione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22,4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 servizio civile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Casalinga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1,5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Studente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Inabile parziale o totale al lavoro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0,8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Pensionato/a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Lavoro nero/irregolare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Altro</w:t>
            </w:r>
          </w:p>
        </w:tc>
        <w:tc>
          <w:tcPr>
            <w:tcW w:w="101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</w:t>
            </w:r>
          </w:p>
        </w:tc>
        <w:tc>
          <w:tcPr>
            <w:tcW w:w="85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6407" w:type="dxa"/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18" w:type="dxa"/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855" w:type="dxa"/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</w:t>
            </w:r>
          </w:p>
        </w:tc>
      </w:tr>
      <w:tr w:rsidR="008E0B7B">
        <w:tc>
          <w:tcPr>
            <w:tcW w:w="640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8E0B7B">
            <w:pPr>
              <w:widowControl/>
              <w:spacing w:line="240" w:lineRule="auto"/>
              <w:rPr>
                <w:rFonts w:ascii="Times New Roman" w:hAnsi="Times New Roman" w:cs="Verdana"/>
                <w:b/>
                <w:bCs/>
                <w:color w:val="1A1A1A"/>
              </w:rPr>
            </w:pPr>
          </w:p>
        </w:tc>
        <w:tc>
          <w:tcPr>
            <w:tcW w:w="101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8E0B7B">
            <w:pPr>
              <w:widowControl/>
              <w:spacing w:line="240" w:lineRule="auto"/>
              <w:rPr>
                <w:rFonts w:ascii="Times New Roman" w:hAnsi="Times New Roman" w:cs="Verdana"/>
                <w:color w:val="1A1A1A"/>
              </w:rPr>
            </w:pPr>
          </w:p>
        </w:tc>
        <w:tc>
          <w:tcPr>
            <w:tcW w:w="85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8E0B7B">
            <w:pPr>
              <w:widowControl/>
              <w:spacing w:line="240" w:lineRule="auto"/>
              <w:rPr>
                <w:rFonts w:ascii="Times New Roman" w:hAnsi="Times New Roman" w:cs="Verdana"/>
                <w:color w:val="1A1A1A"/>
              </w:rPr>
            </w:pP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TIPOLOGIA DEL NUCLEO FAMILIARE:</w:t>
      </w:r>
    </w:p>
    <w:tbl>
      <w:tblPr>
        <w:tblW w:w="10314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4"/>
        <w:gridCol w:w="1036"/>
        <w:gridCol w:w="954"/>
      </w:tblGrid>
      <w:tr w:rsidR="008E0B7B">
        <w:tc>
          <w:tcPr>
            <w:tcW w:w="832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Con chi vive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434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49,3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Solo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109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12,4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 nucleo con figli o altri familiari/parenti (senza coniuge/partner)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97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11,0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 nucleo con conoscenti o soggetti esterni alla propria famiglia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21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2,4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Presso istituto, comunità, ecc.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Coabitazione di più famiglie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 nucleo con solo coniuge (senza figli o altri componenti)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15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1,7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 nucleo con coniuge e figli o altri familiari/parenti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178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20,2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 famiglia di fatto (in nucleo con partner, con o senza figli)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11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1,3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Altro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0,5</w:t>
            </w:r>
          </w:p>
        </w:tc>
      </w:tr>
      <w:tr w:rsidR="008E0B7B">
        <w:tc>
          <w:tcPr>
            <w:tcW w:w="832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36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95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7B3EAD" w:rsidRDefault="007B3EAD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7B3EAD" w:rsidRDefault="007B3EAD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lastRenderedPageBreak/>
        <w:t>NUMERO DI PERSONE CENSITE PER POSSESSO DI PROLE:</w:t>
      </w:r>
    </w:p>
    <w:tbl>
      <w:tblPr>
        <w:tblW w:w="393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087"/>
        <w:gridCol w:w="705"/>
      </w:tblGrid>
      <w:tr w:rsidR="008E0B7B">
        <w:tc>
          <w:tcPr>
            <w:tcW w:w="213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Ha figli</w:t>
            </w:r>
          </w:p>
        </w:tc>
        <w:tc>
          <w:tcPr>
            <w:tcW w:w="108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70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213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[No Value]</w:t>
            </w:r>
          </w:p>
        </w:tc>
        <w:tc>
          <w:tcPr>
            <w:tcW w:w="108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476</w:t>
            </w:r>
          </w:p>
        </w:tc>
        <w:tc>
          <w:tcPr>
            <w:tcW w:w="70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54,1</w:t>
            </w:r>
          </w:p>
        </w:tc>
      </w:tr>
      <w:tr w:rsidR="008E0B7B">
        <w:tc>
          <w:tcPr>
            <w:tcW w:w="213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8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70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213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Si</w:t>
            </w:r>
          </w:p>
        </w:tc>
        <w:tc>
          <w:tcPr>
            <w:tcW w:w="108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332</w:t>
            </w:r>
          </w:p>
        </w:tc>
        <w:tc>
          <w:tcPr>
            <w:tcW w:w="70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37,7</w:t>
            </w:r>
          </w:p>
        </w:tc>
      </w:tr>
      <w:tr w:rsidR="008E0B7B">
        <w:tc>
          <w:tcPr>
            <w:tcW w:w="213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No</w:t>
            </w:r>
          </w:p>
        </w:tc>
        <w:tc>
          <w:tcPr>
            <w:tcW w:w="108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66</w:t>
            </w:r>
          </w:p>
        </w:tc>
        <w:tc>
          <w:tcPr>
            <w:tcW w:w="70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7,5</w:t>
            </w:r>
          </w:p>
        </w:tc>
      </w:tr>
      <w:tr w:rsidR="008E0B7B">
        <w:tc>
          <w:tcPr>
            <w:tcW w:w="213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8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70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  <w:r>
        <w:rPr>
          <w:rFonts w:ascii="Times New Roman" w:hAnsi="Times New Roman" w:cs="Times New Roman"/>
          <w:b/>
          <w:color w:val="00000A"/>
          <w:lang w:eastAsia="it-IT"/>
        </w:rPr>
        <w:t>NUMERO DI PERSONE CENSITE PER GRADO DI ISTRUZIONE:</w:t>
      </w:r>
    </w:p>
    <w:tbl>
      <w:tblPr>
        <w:tblW w:w="478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9"/>
        <w:gridCol w:w="1011"/>
        <w:gridCol w:w="765"/>
      </w:tblGrid>
      <w:tr w:rsidR="008E0B7B">
        <w:tc>
          <w:tcPr>
            <w:tcW w:w="3009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Istruzione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(Non specificato)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683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77,6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Analfabeta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0,8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Nessun titolo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Licenza elementare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27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3,1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Licenza media inferiore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69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7,8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Diploma professionale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27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3,1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Licenza media superiore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44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5,0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Diploma universitario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Laurea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Altro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3009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11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880</w:t>
            </w:r>
          </w:p>
        </w:tc>
        <w:tc>
          <w:tcPr>
            <w:tcW w:w="76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7B3EAD" w:rsidRDefault="007B3EAD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DI PASSAGGI NEL 2016 PER QUALSIASI SERVIZIO O COLLOQUIO:</w:t>
      </w:r>
    </w:p>
    <w:tbl>
      <w:tblPr>
        <w:tblW w:w="308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983"/>
        <w:gridCol w:w="820"/>
      </w:tblGrid>
      <w:tr w:rsidR="008E0B7B">
        <w:tc>
          <w:tcPr>
            <w:tcW w:w="1282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Sesso</w:t>
            </w:r>
          </w:p>
        </w:tc>
        <w:tc>
          <w:tcPr>
            <w:tcW w:w="983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82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1282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Femminile</w:t>
            </w:r>
          </w:p>
        </w:tc>
        <w:tc>
          <w:tcPr>
            <w:tcW w:w="983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1.463</w:t>
            </w:r>
          </w:p>
        </w:tc>
        <w:tc>
          <w:tcPr>
            <w:tcW w:w="8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44,1</w:t>
            </w:r>
          </w:p>
        </w:tc>
      </w:tr>
      <w:tr w:rsidR="008E0B7B">
        <w:tc>
          <w:tcPr>
            <w:tcW w:w="1282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Maschile</w:t>
            </w:r>
          </w:p>
        </w:tc>
        <w:tc>
          <w:tcPr>
            <w:tcW w:w="983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1.858</w:t>
            </w:r>
          </w:p>
        </w:tc>
        <w:tc>
          <w:tcPr>
            <w:tcW w:w="82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55,9</w:t>
            </w:r>
          </w:p>
        </w:tc>
      </w:tr>
      <w:tr w:rsidR="008E0B7B">
        <w:tc>
          <w:tcPr>
            <w:tcW w:w="1282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983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3.321</w:t>
            </w:r>
          </w:p>
        </w:tc>
        <w:tc>
          <w:tcPr>
            <w:tcW w:w="82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  <w:r>
        <w:rPr>
          <w:rFonts w:ascii="Times New Roman" w:hAnsi="Times New Roman" w:cs="Times New Roman"/>
          <w:b/>
          <w:color w:val="00000A"/>
          <w:lang w:eastAsia="it-IT"/>
        </w:rPr>
        <w:t>NUMERO E TIPOLOGIA DI BISOGNI PER MACROVOCI E CITTADINANZA</w:t>
      </w:r>
    </w:p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134"/>
        <w:gridCol w:w="1754"/>
        <w:gridCol w:w="1701"/>
        <w:gridCol w:w="1223"/>
        <w:gridCol w:w="1134"/>
      </w:tblGrid>
      <w:tr w:rsidR="008E0B7B">
        <w:tc>
          <w:tcPr>
            <w:tcW w:w="3510" w:type="dxa"/>
            <w:tcBorders>
              <w:top w:val="single" w:sz="2" w:space="0" w:color="FFFFFF"/>
              <w:left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Bisogni - macrovoci</w:t>
            </w:r>
          </w:p>
        </w:tc>
        <w:tc>
          <w:tcPr>
            <w:tcW w:w="1134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(Non specif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cato)</w:t>
            </w:r>
          </w:p>
        </w:tc>
        <w:tc>
          <w:tcPr>
            <w:tcW w:w="1754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Cittadina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za Italiana</w:t>
            </w:r>
          </w:p>
        </w:tc>
        <w:tc>
          <w:tcPr>
            <w:tcW w:w="1701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Cittadina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za Non It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liana</w:t>
            </w:r>
          </w:p>
        </w:tc>
        <w:tc>
          <w:tcPr>
            <w:tcW w:w="1223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Doppia cittad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nanza</w:t>
            </w:r>
          </w:p>
        </w:tc>
        <w:tc>
          <w:tcPr>
            <w:tcW w:w="1134" w:type="dxa"/>
            <w:tcBorders>
              <w:top w:val="single" w:sz="2" w:space="0" w:color="FFFFFF"/>
              <w:bottom w:val="single" w:sz="8" w:space="0" w:color="EAEAEA"/>
              <w:right w:val="single" w:sz="2" w:space="0" w:color="FFFFFF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Totale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CAS - Problematiche abit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tive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4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60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86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DEN - Detenzione e giust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zia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DIP - Dipendenze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6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FAM - Problemi familiari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25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45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HAN - Handicap/disabilita'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IMM - Bisogni in migrazi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o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ne/immigrazione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22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24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IST - Problemi di istruzione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13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16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OCC - Problemi di occup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zione/lavoro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26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105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135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 xml:space="preserve">POV - Povertà /problemi 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lastRenderedPageBreak/>
              <w:t>economici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34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82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120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lastRenderedPageBreak/>
              <w:t>PRO - Altri problemi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6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11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SAL - Problemi di salute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9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21</w:t>
            </w:r>
          </w:p>
        </w:tc>
      </w:tr>
      <w:tr w:rsidR="008E0B7B">
        <w:tc>
          <w:tcPr>
            <w:tcW w:w="3510" w:type="dxa"/>
            <w:tcBorders>
              <w:left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Totale</w:t>
            </w:r>
          </w:p>
        </w:tc>
        <w:tc>
          <w:tcPr>
            <w:tcW w:w="1134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23</w:t>
            </w:r>
          </w:p>
        </w:tc>
        <w:tc>
          <w:tcPr>
            <w:tcW w:w="1754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115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328</w:t>
            </w:r>
          </w:p>
        </w:tc>
        <w:tc>
          <w:tcPr>
            <w:tcW w:w="1223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EAEAEA"/>
              <w:right w:val="single" w:sz="2" w:space="0" w:color="FFFFFF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468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E TIPOLOGIE DI BISOGNI RILEVATI NEL 2016:</w:t>
      </w:r>
    </w:p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tbl>
      <w:tblPr>
        <w:tblW w:w="915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5"/>
        <w:gridCol w:w="1034"/>
        <w:gridCol w:w="639"/>
      </w:tblGrid>
      <w:tr w:rsidR="008E0B7B">
        <w:tc>
          <w:tcPr>
            <w:tcW w:w="748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Bisogni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CAS01 - Abitazione precaria/inadeguata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CAS02 - Mancanza di casa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29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CAS03 - Accoglienza provvisoria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CAS04 - Sfratto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CAS05 - Sovraffollamento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CAS07 - Privo di residenza anagrafica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CAS99 -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1,3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DEN01 - Arresti domiciliari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DEN99 -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DIP01 - Da alcool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DIP03 - Da farmaci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DIP99 -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FAM01 - Abbandono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1,5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FAM03 - Allontanamento dalla famiglia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FAM05 - Difficoltà assist. conviventi/familiari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FAM07 - Conflittualità con parenti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FAM08 - Conflittualità genitori-figli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FAM09 - Divorzio/separazione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14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3,0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FAM11 - Abbandono del tetto coniugale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FAM14 - Maternità nubile/genitore solo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FAM15 - Morte congiunto/familiare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1,5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FAM17 - Difficoltà accudimento bambini piccoli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FAM99 -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HAN99 -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IMM01 - Espulsione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IMM02 - Irregolarità giuridica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1,5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IMM03 - Minore non accompagnato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IMM06 - Richiedente asilo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IMM07 - Ricongiungimento familiare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IMM09 - Tratta di esseri umani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IMM10 - Traffico di esseri umani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IMM12 - Problemi burocratici e amministrativi degli immigrati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IMM99 -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IST01 - Abbandono scolastico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IST02 - Analfabetismo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lastRenderedPageBreak/>
              <w:t>IST03 - Problemi linguistici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IST04 - Ritardo e difficoltà scolastiche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IST99 -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OCC02 - Disoccupazione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118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25,2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OCC03 - Lavoro nero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OCC04 - Licenziamento/perdita del lavoro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OCC06 - Sottoccupazione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OCC08 - Lavoro precario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OCC99 -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POV01 - Accattonaggio/mendicità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POV02 - Indebitamento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POV03 - Nessun reddito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16,0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POV04 - Povertà  estrema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POV06 - Reddito insufficiente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5,3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POV08 - Usura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POV99 -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PRO03 - Problemi burocratici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PRO04 - Problemi psicologici e relazionali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PRO05 - Prostituzione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PRO06 - Solitudine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1,1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PRO99 - Altri problemi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SAL01 - Tumori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SAL02 - Malattie cardiovascolari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SAL06 - Patologie post-traumatiche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0,6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SAL07 - Malattie mentali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SAL08 - Depressione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SAL12 - Malattie respiratorie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SAL99 - Altro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9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1,9</w:t>
            </w:r>
          </w:p>
        </w:tc>
      </w:tr>
      <w:tr w:rsidR="008E0B7B">
        <w:tc>
          <w:tcPr>
            <w:tcW w:w="748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3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468</w:t>
            </w:r>
          </w:p>
        </w:tc>
        <w:tc>
          <w:tcPr>
            <w:tcW w:w="639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  <w:r>
        <w:rPr>
          <w:rFonts w:ascii="Times New Roman" w:hAnsi="Times New Roman" w:cs="Times New Roman"/>
          <w:b/>
          <w:color w:val="00000A"/>
          <w:lang w:eastAsia="it-IT"/>
        </w:rPr>
        <w:t>NUMERO E TIPOLIGIA PER MACROVOCI DELLE RICHIESTE RILEVATE NEL 2016, DIVERSIFICATE PER CITTADINANZA:</w:t>
      </w:r>
    </w:p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701"/>
        <w:gridCol w:w="1612"/>
        <w:gridCol w:w="1418"/>
        <w:gridCol w:w="1364"/>
        <w:gridCol w:w="1276"/>
      </w:tblGrid>
      <w:tr w:rsidR="008E0B7B">
        <w:tc>
          <w:tcPr>
            <w:tcW w:w="3085" w:type="dxa"/>
            <w:tcBorders>
              <w:top w:val="single" w:sz="2" w:space="0" w:color="FFFFFF"/>
              <w:left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Richieste - macrovoci</w:t>
            </w:r>
          </w:p>
        </w:tc>
        <w:tc>
          <w:tcPr>
            <w:tcW w:w="1701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(Non spec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ficato)</w:t>
            </w:r>
          </w:p>
        </w:tc>
        <w:tc>
          <w:tcPr>
            <w:tcW w:w="1612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Cittad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nanza It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liana</w:t>
            </w:r>
          </w:p>
        </w:tc>
        <w:tc>
          <w:tcPr>
            <w:tcW w:w="1418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Cittad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nanza Non It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liana</w:t>
            </w:r>
          </w:p>
        </w:tc>
        <w:tc>
          <w:tcPr>
            <w:tcW w:w="1364" w:type="dxa"/>
            <w:tcBorders>
              <w:top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Doppia cittad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nanza</w:t>
            </w:r>
          </w:p>
        </w:tc>
        <w:tc>
          <w:tcPr>
            <w:tcW w:w="1276" w:type="dxa"/>
            <w:tcBorders>
              <w:top w:val="single" w:sz="2" w:space="0" w:color="FFFFFF"/>
              <w:bottom w:val="single" w:sz="8" w:space="0" w:color="EAEAEA"/>
              <w:right w:val="single" w:sz="2" w:space="0" w:color="FFFFFF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 Totale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0 - (Non specificato)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ALL - Alloggio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4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34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49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ALT - Altre richi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e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ste/interventi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ASC - Ascolto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8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9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BEN - Beni e Servizi m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a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teriali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592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886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1.622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3.100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lastRenderedPageBreak/>
              <w:t>COI - Coinvolgimenti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13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14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CON - Consulenza pr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o</w:t>
            </w: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fessionale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10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11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LAV - Lavoro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22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92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119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ORI - Orientamento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5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SAN - Sanità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53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29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38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120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SCU - Scuola/Istruzione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13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13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SOS - Sostegno Socio-assistenziale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10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13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SUS - Sussidi Economici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16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62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91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169</w:t>
            </w:r>
          </w:p>
        </w:tc>
      </w:tr>
      <w:tr w:rsidR="008E0B7B">
        <w:tc>
          <w:tcPr>
            <w:tcW w:w="3085" w:type="dxa"/>
            <w:tcBorders>
              <w:left w:val="single" w:sz="2" w:space="0" w:color="FFFFFF"/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color w:val="1A1A1A"/>
                <w:kern w:val="0"/>
                <w:sz w:val="21"/>
                <w:szCs w:val="21"/>
              </w:rPr>
              <w:t>Totale</w:t>
            </w:r>
          </w:p>
        </w:tc>
        <w:tc>
          <w:tcPr>
            <w:tcW w:w="1701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670</w:t>
            </w:r>
          </w:p>
        </w:tc>
        <w:tc>
          <w:tcPr>
            <w:tcW w:w="1612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1.017</w:t>
            </w:r>
          </w:p>
        </w:tc>
        <w:tc>
          <w:tcPr>
            <w:tcW w:w="1418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1.937</w:t>
            </w:r>
          </w:p>
        </w:tc>
        <w:tc>
          <w:tcPr>
            <w:tcW w:w="1364" w:type="dxa"/>
            <w:tcBorders>
              <w:bottom w:val="single" w:sz="8" w:space="0" w:color="EAEAEA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EAEAEA"/>
              <w:right w:val="single" w:sz="2" w:space="0" w:color="FFFFFF"/>
            </w:tcBorders>
            <w:shd w:val="clear" w:color="auto" w:fill="D5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7B" w:rsidRDefault="00E13E0B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</w:pPr>
            <w:r>
              <w:rPr>
                <w:rFonts w:ascii="Verdana" w:hAnsi="Verdana" w:cs="Verdana"/>
                <w:color w:val="1A1A1A"/>
                <w:kern w:val="0"/>
                <w:sz w:val="21"/>
                <w:szCs w:val="21"/>
              </w:rPr>
              <w:t>3.626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  <w:r>
        <w:rPr>
          <w:rFonts w:ascii="Times New Roman" w:hAnsi="Times New Roman" w:cs="Times New Roman"/>
          <w:b/>
          <w:color w:val="00000A"/>
          <w:lang w:eastAsia="it-IT"/>
        </w:rPr>
        <w:t>NUMERO E TIPOLOGIA DI RICHIESTE PERVENUTE NEL 2016:</w:t>
      </w:r>
    </w:p>
    <w:p w:rsidR="008E0B7B" w:rsidRDefault="008E0B7B">
      <w:pPr>
        <w:widowControl/>
        <w:jc w:val="both"/>
        <w:rPr>
          <w:rFonts w:ascii="Times New Roman" w:hAnsi="Times New Roman"/>
          <w:color w:val="00000A"/>
          <w:lang w:eastAsia="it-IT"/>
        </w:rPr>
      </w:pPr>
    </w:p>
    <w:tbl>
      <w:tblPr>
        <w:tblW w:w="732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  <w:gridCol w:w="994"/>
        <w:gridCol w:w="690"/>
      </w:tblGrid>
      <w:tr w:rsidR="008E0B7B">
        <w:tc>
          <w:tcPr>
            <w:tcW w:w="5636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Richieste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0 - (Non specificato)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ALL01 - Pronta e prima accoglienza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34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0,9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ALL02 - In casa famiglia/comunità alloggio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ALL03 - In istituto/pensionato/casa di riposo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ALL04 - Accoglienza a lungo termine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ALL05 - Accoglienza di parenti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ALT - Altre richieste/interventi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ASC01 - Semplice ascolto/primo ascolto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ASC02 - Con discernimento e progetto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BEN01 - Alimenti e prodotti per neonati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BEN02 - Apparecch.-materiale sanitario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BEN03 - Attrezzature, strumenti di lavoro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BEN04 - Biglietti per viaggi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BEN06 - Igiene personale, bagni/docce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699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19,3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BEN07 - Mensa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BEN08 - Mezzo di trasporto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BEN09 - Mobilio, attrezzatura per la casa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BEN10 - Vestiario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1.077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29,7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BEN11 - Distribuzione pacchi viveri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1.204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33,2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BEN12 - Viveri a domicilio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1,7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COI01 - Di gruppi laici di volontariato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COI02 - Di persone o famiglie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COI03 - Di enti privati o del terzo settore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COI04 - Di enti pubblici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COI05 - Di parrocchie e/o gruppi parrocc.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CON02 - Legale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lastRenderedPageBreak/>
              <w:t>CON03 - Psico-sociale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CON99 -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 - Lavoro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LAV01 - Lavoro Part-time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25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LAV02 - Lavoro Saltuario, occasionale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LAV03 - Lavoro Stagionale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LAV04 - Lavoro a Tempo pieno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79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ORI01 - A servizi socio-sanitari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ORI02 - Per esigenze abitative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ORI04 - Per problemi familiari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ORI99 -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 - Sanità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16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SAN02 - Farmaci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16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SAN04 - Prestazioni infermieristiche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SAN07 - Visite mediche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2,3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SCU01 - Corsi di formazione professionale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SCU02 - Corsi di lingua italiana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SCU03 - Doposcuola/sostegno scolastico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SCU04 - Materiale scolastico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SCU99 -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SOS01 - Accoglienza in famiglia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SOS04 - Assistenza domiciliare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SOS06 - Compagnia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SOS08 - Sostegno diurno socio-educativo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SOS09 - Accudimento bambini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SOS99 - Altro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SUS02 - Per affitto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SUS03 - Per pagamento bollette/tasse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83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2,3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SUS04 - Per spese sanitarie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SUS07 - Per permesso di soggiorno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SUS10 - Per spese scolastiche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SUS11 - Per spese di trasporto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8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SUS99 - Per altri motivi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58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1,6</w:t>
            </w:r>
          </w:p>
        </w:tc>
      </w:tr>
      <w:tr w:rsidR="008E0B7B">
        <w:tc>
          <w:tcPr>
            <w:tcW w:w="5636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994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3.626</w:t>
            </w:r>
          </w:p>
        </w:tc>
        <w:tc>
          <w:tcPr>
            <w:tcW w:w="690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</w:t>
            </w:r>
          </w:p>
        </w:tc>
      </w:tr>
    </w:tbl>
    <w:p w:rsidR="008E0B7B" w:rsidRDefault="008E0B7B">
      <w:pPr>
        <w:widowControl/>
        <w:jc w:val="both"/>
        <w:rPr>
          <w:rFonts w:ascii="Times New Roman" w:hAnsi="Times New Roman" w:cs="Times New Roman"/>
          <w:b/>
          <w:color w:val="00000A"/>
          <w:lang w:eastAsia="it-IT"/>
        </w:rPr>
      </w:pPr>
    </w:p>
    <w:p w:rsidR="008E0B7B" w:rsidRDefault="00E13E0B">
      <w:pPr>
        <w:widowControl/>
        <w:jc w:val="both"/>
      </w:pPr>
      <w:r>
        <w:rPr>
          <w:rFonts w:ascii="Times New Roman" w:hAnsi="Times New Roman" w:cs="Times New Roman"/>
          <w:b/>
          <w:color w:val="00000A"/>
          <w:lang w:eastAsia="it-IT"/>
        </w:rPr>
        <w:t>NUMERO E TIPOLOGIA DI INTERVENTI EFFETTUATI NEL 2016:</w:t>
      </w:r>
    </w:p>
    <w:tbl>
      <w:tblPr>
        <w:tblW w:w="714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1048"/>
        <w:gridCol w:w="735"/>
      </w:tblGrid>
      <w:tr w:rsidR="008E0B7B">
        <w:tc>
          <w:tcPr>
            <w:tcW w:w="535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Interventi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Totale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 %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0 - (Non specificato)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ALL01 - Pronta e prima accoglienza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28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0,7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ALL02 - In casa famiglia/comunità alloggio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lastRenderedPageBreak/>
              <w:t>ALL99 - Altro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ASC01 - Semplice ascolto/primo ascolto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792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18,8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ASC02 - Con discernimento e progetto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BEN02 - Apparecch.-materiale sanitario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BEN03 - Attrezzature, strumenti di lavoro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BEN04 - Biglietti per viaggi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34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0,8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BEN06 - Igiene personale, bagni/docce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702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16,7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BEN07 - Mensa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BEN08 - Mezzo di trasporto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3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BEN09 - Mobilio, attrezzatura per la casa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BEN10 - Vestiario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1.076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25,6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BEN11 - Distribuzione pacchi viveri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1.194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28,4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BEN12 - Viveri a domicilio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BEN99 - Altro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54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1,3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COI04 - Di enti pubblici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COI99 - Altro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LAV01 - Lavoro Part-time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LAV04 - Lavoro a Tempo pieno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ORI01 - A servizi socio-sanitari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ORI99 - Altro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 - Sanità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22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0,5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SAN02 - Farmaci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15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0,4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SAN07 - Visite mediche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121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2,9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SAN99 - Altro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SCU04 - Materiale scolastico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SOS99 - Altro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SUS02 - Per affitto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0,1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SUS03 - Per pagamento bollette/tasse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61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1,4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SUS04 - Per spese sanitarie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2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SUS07 - Per permesso di soggiorno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7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0,2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SUS10 - Per spese scolastiche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0,0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SUS11 - Per spese di trasporto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11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0,3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SUS99 - Per altri motivi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54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1,3</w:t>
            </w:r>
          </w:p>
        </w:tc>
      </w:tr>
      <w:tr w:rsidR="008E0B7B">
        <w:tc>
          <w:tcPr>
            <w:tcW w:w="5357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b/>
                <w:bCs/>
                <w:color w:val="1A1A1A"/>
              </w:rPr>
              <w:t>Totale</w:t>
            </w:r>
          </w:p>
        </w:tc>
        <w:tc>
          <w:tcPr>
            <w:tcW w:w="1048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4.210</w:t>
            </w:r>
          </w:p>
        </w:tc>
        <w:tc>
          <w:tcPr>
            <w:tcW w:w="735" w:type="dxa"/>
            <w:tcBorders>
              <w:bottom w:val="single" w:sz="8" w:space="0" w:color="EAEAEA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B7B" w:rsidRDefault="00E13E0B">
            <w:pPr>
              <w:widowControl/>
              <w:spacing w:line="240" w:lineRule="auto"/>
            </w:pPr>
            <w:r>
              <w:rPr>
                <w:rFonts w:ascii="Times New Roman" w:hAnsi="Times New Roman" w:cs="Verdana"/>
                <w:color w:val="1A1A1A"/>
              </w:rPr>
              <w:t>100,0</w:t>
            </w:r>
          </w:p>
        </w:tc>
      </w:tr>
    </w:tbl>
    <w:p w:rsidR="008E0B7B" w:rsidRDefault="008E0B7B">
      <w:pPr>
        <w:pBdr>
          <w:bottom w:val="single" w:sz="4" w:space="1" w:color="00000A"/>
        </w:pBdr>
        <w:jc w:val="both"/>
        <w:rPr>
          <w:rFonts w:ascii="Times New Roman" w:hAnsi="Times New Roman" w:cs="Times New Roman"/>
          <w:color w:val="00000A"/>
          <w:sz w:val="28"/>
          <w:szCs w:val="28"/>
          <w:lang w:eastAsia="it-IT"/>
        </w:rPr>
      </w:pPr>
    </w:p>
    <w:p w:rsidR="008E0B7B" w:rsidRDefault="00E13E0B">
      <w:pPr>
        <w:pBdr>
          <w:bottom w:val="single" w:sz="4" w:space="1" w:color="00000A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SPORTELLO LAVORO</w:t>
      </w:r>
    </w:p>
    <w:p w:rsidR="008E0B7B" w:rsidRDefault="00E13E0B" w:rsidP="007B3EAD">
      <w:pPr>
        <w:jc w:val="both"/>
      </w:pPr>
      <w:r>
        <w:rPr>
          <w:rFonts w:ascii="Times New Roman" w:hAnsi="Times New Roman" w:cs="Times New Roman"/>
          <w:sz w:val="24"/>
          <w:szCs w:val="24"/>
        </w:rPr>
        <w:t>Allo sportello lavoro nell’anno 2016 sono state ascoltate circa 280 persone con una media di 6/7 persone alla settimana. Sono state compilate 170 schede. Durante la settimane molte di queste persone vengono accompagnate o seguite per pratiche verso varie enti istituzionali.</w:t>
      </w:r>
    </w:p>
    <w:p w:rsidR="008E0B7B" w:rsidRDefault="00E13E0B" w:rsidP="007B3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proposito di lavoro interessante è stato la convezione con lo Sprar di Grottammare che ha permesso di dare l’opportunità a circa 20 ragazzi italiani e non di partecipare ad un corso per aiuto cuoco all’accademia degli Chef.</w:t>
      </w:r>
      <w:r w:rsidR="007B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Caritas inoltre collabora con il progetto Policoro che sta </w:t>
      </w:r>
      <w:r>
        <w:rPr>
          <w:rFonts w:ascii="Times New Roman" w:hAnsi="Times New Roman" w:cs="Times New Roman"/>
          <w:sz w:val="24"/>
          <w:szCs w:val="24"/>
        </w:rPr>
        <w:lastRenderedPageBreak/>
        <w:t>iniziando i suoi primi passi nella nostra diocesi.</w:t>
      </w:r>
    </w:p>
    <w:p w:rsidR="007B3EAD" w:rsidRDefault="007B3EAD">
      <w:pPr>
        <w:rPr>
          <w:rFonts w:ascii="Times New Roman" w:hAnsi="Times New Roman" w:cs="Times New Roman"/>
          <w:b/>
        </w:rPr>
      </w:pPr>
    </w:p>
    <w:p w:rsidR="008E0B7B" w:rsidRDefault="00E13E0B" w:rsidP="007B3EAD">
      <w:pPr>
        <w:pBdr>
          <w:bottom w:val="single" w:sz="4" w:space="1" w:color="auto"/>
        </w:pBdr>
      </w:pPr>
      <w:r>
        <w:rPr>
          <w:rFonts w:ascii="Times New Roman" w:hAnsi="Times New Roman" w:cs="Times New Roman"/>
          <w:b/>
        </w:rPr>
        <w:t>LA CASA DI ACCOGLIENZA</w:t>
      </w:r>
    </w:p>
    <w:p w:rsidR="008E0B7B" w:rsidRDefault="00E13E0B">
      <w:pPr>
        <w:pStyle w:val="Nessunaspaziatura"/>
        <w:spacing w:line="276" w:lineRule="auto"/>
        <w:jc w:val="both"/>
      </w:pPr>
      <w:r>
        <w:rPr>
          <w:rFonts w:ascii="Times New Roman" w:hAnsi="Times New Roman" w:cs="Times New Roman"/>
        </w:rPr>
        <w:t>Nel 2016 sono state accolte circa 30 persone. Per emergenza neve invece sono st</w:t>
      </w:r>
      <w:r w:rsidR="007B3EAD">
        <w:rPr>
          <w:rFonts w:ascii="Times New Roman" w:hAnsi="Times New Roman" w:cs="Times New Roman"/>
        </w:rPr>
        <w:t>ate accolte circa 13/15</w:t>
      </w:r>
      <w:r>
        <w:rPr>
          <w:rFonts w:ascii="Times New Roman" w:hAnsi="Times New Roman" w:cs="Times New Roman"/>
        </w:rPr>
        <w:t xml:space="preserve"> persone per il periodo invernale.</w:t>
      </w:r>
    </w:p>
    <w:p w:rsidR="008E0B7B" w:rsidRDefault="00E13E0B">
      <w:pPr>
        <w:pBdr>
          <w:bottom w:val="single" w:sz="4" w:space="1" w:color="00000A"/>
        </w:pBdr>
        <w:spacing w:before="28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CONDIVISIONE VIVERI</w:t>
      </w:r>
    </w:p>
    <w:p w:rsidR="008E0B7B" w:rsidRDefault="00E13E0B">
      <w:pPr>
        <w:pStyle w:val="Nessunaspaziatura"/>
        <w:spacing w:line="276" w:lineRule="auto"/>
        <w:jc w:val="both"/>
      </w:pPr>
      <w:r>
        <w:rPr>
          <w:rFonts w:ascii="Times New Roman" w:hAnsi="Times New Roman" w:cs="Times New Roman"/>
          <w:i/>
        </w:rPr>
        <w:t xml:space="preserve">Nel 2016 sono stati distribuiti viveri a </w:t>
      </w:r>
      <w:r>
        <w:rPr>
          <w:rFonts w:ascii="Times New Roman" w:hAnsi="Times New Roman" w:cs="Times New Roman"/>
          <w:b/>
          <w:bCs/>
          <w:i/>
        </w:rPr>
        <w:t>9.437 persone</w:t>
      </w:r>
      <w:r>
        <w:rPr>
          <w:rFonts w:ascii="Times New Roman" w:hAnsi="Times New Roman" w:cs="Times New Roman"/>
          <w:i/>
        </w:rPr>
        <w:t xml:space="preserve">. Inoltre sono stati consegnati </w:t>
      </w:r>
      <w:r>
        <w:rPr>
          <w:rFonts w:ascii="Times New Roman" w:hAnsi="Times New Roman" w:cs="Times New Roman"/>
          <w:b/>
          <w:bCs/>
          <w:i/>
        </w:rPr>
        <w:t>819</w:t>
      </w:r>
      <w:r>
        <w:rPr>
          <w:rFonts w:ascii="Times New Roman" w:hAnsi="Times New Roman" w:cs="Times New Roman"/>
          <w:i/>
        </w:rPr>
        <w:t xml:space="preserve"> pacchi viveri a persone senza fissa dimora.</w:t>
      </w: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E0B7B" w:rsidRDefault="00E13E0B">
      <w:pPr>
        <w:pStyle w:val="Nessunaspaziatura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8920" cy="3238560"/>
            <wp:effectExtent l="0" t="0" r="0" b="0"/>
            <wp:wrapSquare wrapText="bothSides"/>
            <wp:docPr id="2" name="Ogget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72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2103"/>
        <w:gridCol w:w="1982"/>
        <w:gridCol w:w="1421"/>
      </w:tblGrid>
      <w:tr w:rsidR="008E0B7B"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Mese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Pacchi viveri 2015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Pacchi Viveri 2016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Differenza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GENNAIO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934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+48,01%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FEBBRAIO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810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887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+9,5%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MARZO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998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+17,27%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APRILE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792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971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+22,60%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MAGGIO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868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+8,29%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GIUGNO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685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+22,04%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LUGLIO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864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699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-19,09%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AGOSTO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265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+74,34%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SETTEMBRE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817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599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-26,68%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OTTOBRE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848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674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-20,51%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NOVEMBRE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932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753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-19,20%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DICEMBRE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974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657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-32,13%</w:t>
            </w:r>
          </w:p>
        </w:tc>
      </w:tr>
      <w:tr w:rsidR="008E0B7B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  <w:color w:val="000000"/>
              </w:rPr>
            </w:pPr>
            <w:r>
              <w:rPr>
                <w:rFonts w:ascii="Arial" w:hAnsi="Arial"/>
                <w:i/>
                <w:iCs/>
                <w:color w:val="000000"/>
              </w:rPr>
              <w:lastRenderedPageBreak/>
              <w:t>Totale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9237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9410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+1,87%</w:t>
            </w:r>
          </w:p>
        </w:tc>
      </w:tr>
    </w:tbl>
    <w:p w:rsidR="007B3EAD" w:rsidRDefault="007B3EAD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</w:rPr>
      </w:pPr>
    </w:p>
    <w:p w:rsidR="008E0B7B" w:rsidRDefault="00E13E0B">
      <w:pPr>
        <w:pStyle w:val="Nessunaspaziatura"/>
        <w:spacing w:line="276" w:lineRule="auto"/>
        <w:jc w:val="both"/>
      </w:pPr>
      <w:r>
        <w:rPr>
          <w:rFonts w:ascii="Times New Roman" w:hAnsi="Times New Roman" w:cs="Times New Roman"/>
          <w:i/>
        </w:rPr>
        <w:t>La mensa ha servito</w:t>
      </w:r>
      <w:r>
        <w:rPr>
          <w:rFonts w:ascii="Times New Roman" w:hAnsi="Times New Roman" w:cs="Times New Roman"/>
          <w:b/>
          <w:bCs/>
          <w:i/>
        </w:rPr>
        <w:t xml:space="preserve"> 23.007 pasti</w:t>
      </w:r>
      <w:r>
        <w:rPr>
          <w:rFonts w:ascii="Times New Roman" w:hAnsi="Times New Roman" w:cs="Times New Roman"/>
          <w:i/>
        </w:rPr>
        <w:t xml:space="preserve"> ai bisognosi secondo questa ripartizione:</w:t>
      </w:r>
    </w:p>
    <w:p w:rsidR="008E0B7B" w:rsidRDefault="00E13E0B">
      <w:pPr>
        <w:pStyle w:val="Nessunaspaziatura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398160</wp:posOffset>
            </wp:positionH>
            <wp:positionV relativeFrom="paragraph">
              <wp:posOffset>89640</wp:posOffset>
            </wp:positionV>
            <wp:extent cx="5758919" cy="3238560"/>
            <wp:effectExtent l="0" t="0" r="0" b="0"/>
            <wp:wrapSquare wrapText="bothSides"/>
            <wp:docPr id="3" name="Ogget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9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875"/>
        <w:gridCol w:w="1982"/>
        <w:gridCol w:w="1982"/>
      </w:tblGrid>
      <w:tr w:rsidR="008E0B7B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Mese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Presenze 2015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Presenze 2016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Differenza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GENNAIO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1395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1972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+41,36%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FEBBRAIO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1339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+63,63%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MARZO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1529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+32,17%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APRILE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1626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2146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+31,98%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MAGGIO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1586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2107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+32,84%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GIUGNO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1520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1668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+9,73%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LUGLIO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1714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+7,05%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AGOSTO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+3,29%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SETTEMBRE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1300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1656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+27,38%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OTTOBRE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1817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1888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+3,9%</w:t>
            </w:r>
          </w:p>
        </w:tc>
      </w:tr>
      <w:tr w:rsidR="008E0B7B">
        <w:trPr>
          <w:trHeight w:val="414"/>
        </w:trPr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NOVEMBRE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1734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1922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+10,84%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DICEMBRE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1795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1841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+2,5%</w:t>
            </w:r>
          </w:p>
        </w:tc>
      </w:tr>
      <w:tr w:rsidR="008E0B7B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Totale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19063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23007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7B" w:rsidRDefault="00E13E0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+20,68%</w:t>
            </w:r>
          </w:p>
        </w:tc>
      </w:tr>
    </w:tbl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7B" w:rsidRDefault="00E13E0B">
      <w:pPr>
        <w:pStyle w:val="Nessunaspaziatura"/>
        <w:pBdr>
          <w:bottom w:val="single" w:sz="4" w:space="1" w:color="00000A"/>
        </w:pBd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DOCCE E BARBERIA</w:t>
      </w:r>
    </w:p>
    <w:p w:rsidR="008E0B7B" w:rsidRDefault="00E13E0B">
      <w:pPr>
        <w:pStyle w:val="Nessunaspaziatura"/>
        <w:spacing w:line="276" w:lineRule="auto"/>
        <w:jc w:val="both"/>
      </w:pPr>
      <w:r>
        <w:rPr>
          <w:rFonts w:ascii="Times New Roman" w:hAnsi="Times New Roman" w:cs="Times New Roman"/>
          <w:i/>
        </w:rPr>
        <w:t xml:space="preserve">Nel 2016 sono state registrate </w:t>
      </w:r>
      <w:r>
        <w:rPr>
          <w:rFonts w:ascii="Times New Roman" w:hAnsi="Times New Roman" w:cs="Times New Roman"/>
          <w:b/>
          <w:bCs/>
          <w:i/>
        </w:rPr>
        <w:t>1955 docce</w:t>
      </w:r>
      <w:r>
        <w:rPr>
          <w:rFonts w:ascii="Times New Roman" w:hAnsi="Times New Roman" w:cs="Times New Roman"/>
          <w:i/>
        </w:rPr>
        <w:t xml:space="preserve">. Mentre il servizio del barbiere ha accolto </w:t>
      </w:r>
      <w:r>
        <w:rPr>
          <w:rFonts w:ascii="Times New Roman" w:hAnsi="Times New Roman" w:cs="Times New Roman"/>
          <w:b/>
          <w:bCs/>
          <w:i/>
        </w:rPr>
        <w:t>203 persone</w:t>
      </w:r>
      <w:r>
        <w:rPr>
          <w:rFonts w:ascii="Times New Roman" w:hAnsi="Times New Roman" w:cs="Times New Roman"/>
          <w:i/>
        </w:rPr>
        <w:t>.</w:t>
      </w:r>
    </w:p>
    <w:p w:rsidR="008E0B7B" w:rsidRDefault="00E13E0B">
      <w:pPr>
        <w:pStyle w:val="Nessunaspaziatura"/>
        <w:spacing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-3960</wp:posOffset>
            </wp:positionH>
            <wp:positionV relativeFrom="paragraph">
              <wp:posOffset>54000</wp:posOffset>
            </wp:positionV>
            <wp:extent cx="6450479" cy="3238560"/>
            <wp:effectExtent l="0" t="0" r="0" b="0"/>
            <wp:wrapSquare wrapText="bothSides"/>
            <wp:docPr id="4" name="Ogget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E0B7B" w:rsidRDefault="00E13E0B">
      <w:pPr>
        <w:pStyle w:val="Nessunaspaziatura"/>
        <w:pBdr>
          <w:bottom w:val="single" w:sz="4" w:space="1" w:color="00000A"/>
        </w:pBd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VESTIARIO</w:t>
      </w:r>
    </w:p>
    <w:p w:rsidR="008E0B7B" w:rsidRDefault="00E13E0B">
      <w:pPr>
        <w:pStyle w:val="Standard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Nel 2016 sono state registrate </w:t>
      </w:r>
      <w:r>
        <w:rPr>
          <w:rFonts w:ascii="Times New Roman" w:hAnsi="Times New Roman" w:cs="Verdana"/>
          <w:i/>
          <w:color w:val="1A1A1A"/>
          <w:sz w:val="24"/>
          <w:szCs w:val="24"/>
        </w:rPr>
        <w:t>1.276</w:t>
      </w:r>
      <w:r>
        <w:rPr>
          <w:rFonts w:ascii="Times New Roman" w:hAnsi="Times New Roman" w:cs="Times New Roman"/>
          <w:i/>
          <w:sz w:val="24"/>
          <w:szCs w:val="24"/>
        </w:rPr>
        <w:t xml:space="preserve"> presenze.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L'armadio dei Piccoli sito in via Pizzi presso il Centro pastorale </w:t>
      </w:r>
      <w:r>
        <w:rPr>
          <w:rFonts w:ascii="Times New Roman" w:hAnsi="Times New Roman" w:cs="Times New Roman"/>
          <w:i/>
          <w:sz w:val="24"/>
          <w:szCs w:val="24"/>
        </w:rPr>
        <w:t>ha registrato 610 passaggi di nuclei famigliari (22% di famiglie italiane e 78% di famiglie straniere)</w:t>
      </w:r>
    </w:p>
    <w:p w:rsidR="008E0B7B" w:rsidRDefault="00E13E0B">
      <w:pPr>
        <w:pStyle w:val="Nessunaspaziatura"/>
        <w:pBdr>
          <w:bottom w:val="single" w:sz="4" w:space="1" w:color="00000A"/>
        </w:pBd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POLIAMBULATORIO</w:t>
      </w:r>
    </w:p>
    <w:p w:rsidR="008E0B7B" w:rsidRDefault="00E13E0B">
      <w:pPr>
        <w:pStyle w:val="Nessunaspaziatura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Non abbiamo i dati riguardanti il 2016, sappiamo che le richieste maggiori riguardano lo studio odontotecnico ed interessante è la convenzione con l’Istituto Professionale  per la costruzione e l’impianto delle dentiere.</w:t>
      </w:r>
    </w:p>
    <w:p w:rsidR="008E0B7B" w:rsidRDefault="008E0B7B">
      <w:pPr>
        <w:pStyle w:val="Nessunaspaziatura"/>
        <w:spacing w:line="276" w:lineRule="auto"/>
        <w:jc w:val="both"/>
        <w:rPr>
          <w:rFonts w:ascii="Times New Roman" w:hAnsi="Times New Roman" w:cs="Times New Roman"/>
          <w:iCs/>
        </w:rPr>
      </w:pPr>
    </w:p>
    <w:p w:rsidR="008E0B7B" w:rsidRDefault="00E13E0B">
      <w:pPr>
        <w:pStyle w:val="Nessunaspaziatura"/>
        <w:pBdr>
          <w:bottom w:val="single" w:sz="4" w:space="1" w:color="00000A"/>
        </w:pBd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AMMINISTRAZIONE</w:t>
      </w:r>
    </w:p>
    <w:p w:rsidR="007B3EAD" w:rsidRDefault="007B3EAD">
      <w:pPr>
        <w:pStyle w:val="Standard"/>
        <w:rPr>
          <w:b/>
          <w:i/>
          <w:iCs/>
          <w:sz w:val="24"/>
          <w:shd w:val="clear" w:color="auto" w:fill="FFFFFF"/>
        </w:rPr>
      </w:pP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lastRenderedPageBreak/>
        <w:t>COSTI: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i costi  sono così ripartiti: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a)spese per gestione immobiliare € 41.374,26: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a.1) spese gestione anno 2016 € 25.086,88: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Energia Elettrica (per mensa -docce e immobile) € 9.591,01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Gas (per mensa -docce e immobile) € 11.737,69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spese telefoniche(telefonia e Internet) € 1.592,18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Acqua (per mensa -docce e immobile) € 2.166,00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a.2) spese manutenzione ordinaria (stabile- ascensori e attrezzature)                  € 16.287,38;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b) costi di gestione attività istituto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b.1) acquisti per servizi (viveri e stoviglie – materiale sanitario) € 34.541,22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b.2) altri costi €81.869,82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rappresentano i costi per la gestione della struttura e dei servizi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carburante automezzi €831,28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cancelleria €548,07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rifiuti/difinf. Sanitari €941,20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materiale per pulizie €509,13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aiuti alla persone €31.540,00 così composti: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spesi al 31.07.2016 (mancanza di dettaglio in quanto la contabilità precedente non lo prevedeva) totali  € 18.488,39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indigenti per bollette € 3.120,08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spese biglietti treno/pulman € 2.519,65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ricariche telefoniche € 784,86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medicine € 1.383,55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libri e tasse scolastiche € 374,00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aiuti vari € 4.869,51;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piccoli attrezzi € 1700,21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assicurazioni € 1.262,80: n.3 automezzi+ R.C mensa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lastRenderedPageBreak/>
        <w:t>- trasporti viveri AGEA € 400,00 è il costo del trasporto dal deposito a noi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b.3) consulenze €645,80: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controlli attrezzature studio medico;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c) contributi erogati € 7.437,20: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contributo CARITAS Regionale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d) oneri finanziari € 490,05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spese bancarie € 360,71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spese postali € 129,34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e) imposte e tasse € 5.741,20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I.C.I. € 41,00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marche/bolli € 25,20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TARI € 3.612,00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tasse comunali € 2.063,00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- ritenute di acconto € 20,00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ENTRATE:</w:t>
      </w:r>
    </w:p>
    <w:p w:rsidR="008E0B7B" w:rsidRPr="007B3EAD" w:rsidRDefault="007B3EAD" w:rsidP="007B3EAD">
      <w:pPr>
        <w:pStyle w:val="Titolo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E13E0B" w:rsidRPr="007B3EAD">
        <w:rPr>
          <w:rFonts w:ascii="Times New Roman" w:hAnsi="Times New Roman" w:cs="Times New Roman"/>
          <w:color w:val="auto"/>
          <w:sz w:val="24"/>
          <w:szCs w:val="24"/>
        </w:rPr>
        <w:t>e entrate al 31. 07.2016  ammontano a € 112.364,07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 sono così  costituite: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offerta per carità  raccolta vestiario € 15.850,00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offerta per progetto Ambulatorio € 3.500,00</w:t>
      </w:r>
    </w:p>
    <w:p w:rsidR="008E0B7B" w:rsidRPr="007B3EAD" w:rsidRDefault="00E13E0B" w:rsidP="007B3EAD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offerta  € 2.500,00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- 8 per mille CEI  € 59.000,00 trattasi del contributo C E I erogato alla Diocesi e da questa girato alla Caritas perché di nostra competenza;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Quaresima 2016 € 10.753,00 si tratta delle raccolte fatte dalle Parrocchie per la Caritas Diocesana;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Avvento € 600,00 sono le raccolte fatte dalle Parrocchie per la Caritas Diocesana, nel 2015 e pervenuteci nel 2016;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Donazione Varie  € 832,26 offerte da privati benefattori;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Comune SBT € 15.000,00 contributo erogato dal Comune di SBT per le attività caritative della Caritas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Fondazione CARISAP € 3.500,00 offerta per acquisto materiale ambulatorio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- storno pagamento CARITAS Regionale € 828,81</w:t>
      </w:r>
    </w:p>
    <w:p w:rsidR="008E0B7B" w:rsidRPr="007B3EAD" w:rsidRDefault="00B24152" w:rsidP="007B3EAD">
      <w:pPr>
        <w:pStyle w:val="Titolo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E13E0B" w:rsidRPr="007B3EAD">
        <w:rPr>
          <w:rFonts w:ascii="Times New Roman" w:hAnsi="Times New Roman" w:cs="Times New Roman"/>
          <w:color w:val="auto"/>
          <w:sz w:val="24"/>
          <w:szCs w:val="24"/>
        </w:rPr>
        <w:t>e entrate dal 1.08.2016 al 31.12.2016: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 contributi straordinari € 59.620,00  ed esattamente</w:t>
      </w:r>
    </w:p>
    <w:p w:rsidR="008E0B7B" w:rsidRPr="007B3EAD" w:rsidRDefault="00E13E0B" w:rsidP="00B24152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€ 20.000,00 offerta da Vescovo SBT per emergenza sisma</w:t>
      </w:r>
    </w:p>
    <w:p w:rsidR="008E0B7B" w:rsidRPr="007B3EAD" w:rsidRDefault="00E13E0B" w:rsidP="00B24152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spacing w:val="8"/>
          <w:kern w:val="0"/>
          <w:sz w:val="24"/>
          <w:szCs w:val="24"/>
          <w:lang w:eastAsia="zh-CN"/>
        </w:rPr>
        <w:t>€ 8.000,00 contributo fondazione CARISAP per sostegno categorie sociali deboli (incassato nel 2017)</w:t>
      </w:r>
    </w:p>
    <w:p w:rsidR="008E0B7B" w:rsidRPr="007B3EAD" w:rsidRDefault="00E13E0B" w:rsidP="00B24152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spacing w:val="8"/>
          <w:kern w:val="0"/>
          <w:sz w:val="24"/>
          <w:szCs w:val="24"/>
          <w:lang w:eastAsia="zh-CN"/>
        </w:rPr>
        <w:t>€ 31.600,00 rimborso per richiesta anti-crisi alla Caritas diocesana di Roma (incassato nel 2017) per offerte caritative aumentate drasticamente nel 2016</w:t>
      </w:r>
    </w:p>
    <w:p w:rsidR="008E0B7B" w:rsidRPr="007B3EAD" w:rsidRDefault="00E13E0B" w:rsidP="00B24152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spacing w:val="8"/>
          <w:kern w:val="0"/>
          <w:sz w:val="24"/>
          <w:szCs w:val="24"/>
          <w:lang w:eastAsia="zh-CN"/>
        </w:rPr>
        <w:t>€ 20,00 varie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spacing w:val="8"/>
          <w:kern w:val="0"/>
          <w:sz w:val="24"/>
          <w:szCs w:val="24"/>
          <w:lang w:eastAsia="zh-CN"/>
        </w:rPr>
        <w:t xml:space="preserve"> - offerte e proventi vari €5.942,50  ed esattamente:</w:t>
      </w:r>
    </w:p>
    <w:p w:rsidR="008E0B7B" w:rsidRPr="007B3EAD" w:rsidRDefault="00E13E0B" w:rsidP="00B24152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spacing w:val="8"/>
          <w:kern w:val="0"/>
          <w:sz w:val="24"/>
          <w:szCs w:val="24"/>
          <w:lang w:eastAsia="zh-CN"/>
        </w:rPr>
        <w:t>Euro 4.997,50 offerte da privati</w:t>
      </w:r>
    </w:p>
    <w:p w:rsidR="008E0B7B" w:rsidRPr="00B24152" w:rsidRDefault="00E13E0B" w:rsidP="00B24152">
      <w:pPr>
        <w:pStyle w:val="Titolo4"/>
        <w:ind w:left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spacing w:val="8"/>
          <w:kern w:val="0"/>
          <w:sz w:val="24"/>
          <w:szCs w:val="24"/>
          <w:lang w:eastAsia="zh-CN"/>
        </w:rPr>
        <w:t>Euro 945,00 Avvento 2016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eastAsia="Times New Roman" w:hAnsi="Times New Roman" w:cs="Times New Roman"/>
          <w:b w:val="0"/>
          <w:i w:val="0"/>
          <w:color w:val="auto"/>
          <w:kern w:val="0"/>
          <w:sz w:val="24"/>
          <w:szCs w:val="24"/>
          <w:shd w:val="clear" w:color="auto" w:fill="FFFFFF"/>
          <w:lang w:eastAsia="zh-CN"/>
        </w:rPr>
        <w:t>A conclusione si può rilevare che l’esercizio 2016 chiude con un risultato positivo (avanzo di esercizio) pari a € 5.809,26 e si stabilisce come per gli anni precedenti di destinare l’avanzo a Fondo accantonamento spese future.</w:t>
      </w:r>
      <w:r w:rsidR="00B24152">
        <w:rPr>
          <w:rFonts w:ascii="Times New Roman" w:eastAsia="Times New Roman" w:hAnsi="Times New Roman" w:cs="Times New Roman"/>
          <w:b w:val="0"/>
          <w:i w:val="0"/>
          <w:color w:val="auto"/>
          <w:kern w:val="0"/>
          <w:sz w:val="24"/>
          <w:szCs w:val="24"/>
          <w:shd w:val="clear" w:color="auto" w:fill="FFFFFF"/>
          <w:lang w:eastAsia="zh-CN"/>
        </w:rPr>
        <w:t xml:space="preserve"> </w:t>
      </w:r>
      <w:r w:rsidRPr="007B3EAD">
        <w:rPr>
          <w:rFonts w:ascii="Times New Roman" w:eastAsia="Times New Roman" w:hAnsi="Times New Roman" w:cs="Times New Roman"/>
          <w:b w:val="0"/>
          <w:i w:val="0"/>
          <w:color w:val="auto"/>
          <w:kern w:val="0"/>
          <w:sz w:val="24"/>
          <w:szCs w:val="24"/>
          <w:shd w:val="clear" w:color="auto" w:fill="FFFFFF"/>
          <w:lang w:eastAsia="zh-CN"/>
        </w:rPr>
        <w:t>La persistente crisi ci impegna sia a cercare nuove forme di contributi sia a contenere i costi al fine di rispondere alle sempre più numerose richieste di aiuto.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PROSPETTIVE PER IL FUTURO</w:t>
      </w:r>
    </w:p>
    <w:p w:rsidR="008E0B7B" w:rsidRPr="007B3EAD" w:rsidRDefault="00B24152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Ora c’è da chiedersi </w:t>
      </w:r>
      <w:r w:rsidR="00E13E0B"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quale cammino intraprendere per il futuro. Senz’altro si tratta di continuare a percorrere i sentieri già individuati:</w:t>
      </w:r>
    </w:p>
    <w:p w:rsidR="008E0B7B" w:rsidRPr="007B3EAD" w:rsidRDefault="00E13E0B" w:rsidP="00B24152">
      <w:pPr>
        <w:pStyle w:val="Titolo4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La sinodalità : valorizzazione delle Caritas parrocchiali rispetto a quella diocesana perché nessuna comunità deleghi la carità ad altri. E’ auspicabile continuare gli incontri vicariali per le Caritas parrocchiali.</w:t>
      </w:r>
    </w:p>
    <w:p w:rsidR="008E0B7B" w:rsidRPr="007B3EAD" w:rsidRDefault="00E13E0B" w:rsidP="00B24152">
      <w:pPr>
        <w:pStyle w:val="Titolo4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Le opere-segno sul territorio: sono stati </w:t>
      </w:r>
      <w:r w:rsidR="00B2415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presentati </w:t>
      </w: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due progetti di case per sposi separati e  giovani senza dimora/lavoro a S. Benedetto e Centobuchi. Si tratterà di individuare altre opere segno rispondenti ai bisogni più urg</w:t>
      </w:r>
      <w:r w:rsidR="00B2415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enti dei rispettivi territorio. </w:t>
      </w: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Esempio opportunità di lavoro o spazi di animazione per le nuove generazioni colpite dal sisma.</w:t>
      </w:r>
    </w:p>
    <w:p w:rsidR="008E0B7B" w:rsidRPr="007B3EAD" w:rsidRDefault="00E13E0B" w:rsidP="00B24152">
      <w:pPr>
        <w:pStyle w:val="Titolo4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La formazione dei volontari a livello diocesano e zonale con un’attenzione particolare, nell’anno del sinodo dei giovani, alle nuove generazioni</w:t>
      </w:r>
      <w:r w:rsidR="00B2415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prevedendo anche esperienze per ragazze di convivenza presso la casa di accoglienza per donne presso la Caritas diocesana e il loro inser</w:t>
      </w:r>
      <w:r w:rsidR="00B2415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imento nella C</w:t>
      </w: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aritas parrocchiali.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La Caritas diocesana</w:t>
      </w:r>
    </w:p>
    <w:p w:rsidR="008E0B7B" w:rsidRPr="007B3EAD" w:rsidRDefault="00E13E0B" w:rsidP="007B3EAD">
      <w:pPr>
        <w:pStyle w:val="Titolo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B3E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San Benedetto del Tronto, lì 09.06.2017</w:t>
      </w:r>
    </w:p>
    <w:sectPr w:rsidR="008E0B7B" w:rsidRPr="007B3EA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5B" w:rsidRDefault="0010615B">
      <w:pPr>
        <w:spacing w:line="240" w:lineRule="auto"/>
      </w:pPr>
      <w:r>
        <w:separator/>
      </w:r>
    </w:p>
  </w:endnote>
  <w:endnote w:type="continuationSeparator" w:id="0">
    <w:p w:rsidR="0010615B" w:rsidRDefault="00106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0B" w:rsidRDefault="00E13E0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0615B">
      <w:rPr>
        <w:noProof/>
      </w:rPr>
      <w:t>2</w:t>
    </w:r>
    <w:r>
      <w:fldChar w:fldCharType="end"/>
    </w:r>
  </w:p>
  <w:p w:rsidR="00E13E0B" w:rsidRDefault="00E13E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5B" w:rsidRDefault="0010615B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0615B" w:rsidRDefault="00106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0B" w:rsidRDefault="00E13E0B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97"/>
    <w:multiLevelType w:val="multilevel"/>
    <w:tmpl w:val="6DA0F5A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AB1781"/>
    <w:multiLevelType w:val="multilevel"/>
    <w:tmpl w:val="AE348908"/>
    <w:styleLink w:val="WWNum4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11B336C8"/>
    <w:multiLevelType w:val="multilevel"/>
    <w:tmpl w:val="A96C493C"/>
    <w:styleLink w:val="WW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12516216"/>
    <w:multiLevelType w:val="multilevel"/>
    <w:tmpl w:val="72127692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66C558B"/>
    <w:multiLevelType w:val="multilevel"/>
    <w:tmpl w:val="1D5E0834"/>
    <w:styleLink w:val="WWNum3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5">
    <w:nsid w:val="1BB8100A"/>
    <w:multiLevelType w:val="multilevel"/>
    <w:tmpl w:val="E90AAC9A"/>
    <w:styleLink w:val="WWNum2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1F1E012D"/>
    <w:multiLevelType w:val="multilevel"/>
    <w:tmpl w:val="7542D7D4"/>
    <w:styleLink w:val="WWNum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>
    <w:nsid w:val="24FB638F"/>
    <w:multiLevelType w:val="multilevel"/>
    <w:tmpl w:val="7FD6D99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DD3271"/>
    <w:multiLevelType w:val="multilevel"/>
    <w:tmpl w:val="962A2D0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7E406C4"/>
    <w:multiLevelType w:val="multilevel"/>
    <w:tmpl w:val="67A20BB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2C5D2646"/>
    <w:multiLevelType w:val="multilevel"/>
    <w:tmpl w:val="0F242640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2D683456"/>
    <w:multiLevelType w:val="hybridMultilevel"/>
    <w:tmpl w:val="154697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1546F"/>
    <w:multiLevelType w:val="multilevel"/>
    <w:tmpl w:val="DEC4B422"/>
    <w:styleLink w:val="WWNum3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3">
    <w:nsid w:val="31B12157"/>
    <w:multiLevelType w:val="multilevel"/>
    <w:tmpl w:val="8174A8E0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14">
    <w:nsid w:val="32F92682"/>
    <w:multiLevelType w:val="multilevel"/>
    <w:tmpl w:val="0688E70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873FB9"/>
    <w:multiLevelType w:val="multilevel"/>
    <w:tmpl w:val="DE48248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6">
    <w:nsid w:val="387474FA"/>
    <w:multiLevelType w:val="multilevel"/>
    <w:tmpl w:val="C646E6C0"/>
    <w:styleLink w:val="No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>
    <w:nsid w:val="39681963"/>
    <w:multiLevelType w:val="multilevel"/>
    <w:tmpl w:val="61BA95B6"/>
    <w:styleLink w:val="WWNum5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8">
    <w:nsid w:val="43927B97"/>
    <w:multiLevelType w:val="multilevel"/>
    <w:tmpl w:val="2ED033C4"/>
    <w:styleLink w:val="WWNum5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9">
    <w:nsid w:val="469A3FCD"/>
    <w:multiLevelType w:val="multilevel"/>
    <w:tmpl w:val="AFCA8A9E"/>
    <w:styleLink w:val="WWNum4"/>
    <w:lvl w:ilvl="0">
      <w:numFmt w:val="bullet"/>
      <w:lvlText w:val=""/>
      <w:lvlJc w:val="left"/>
      <w:rPr>
        <w:rFonts w:ascii="Wingdings" w:hAnsi="Wingdings" w:cs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0">
    <w:nsid w:val="48A222E3"/>
    <w:multiLevelType w:val="multilevel"/>
    <w:tmpl w:val="1EBA1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4D045F0C"/>
    <w:multiLevelType w:val="multilevel"/>
    <w:tmpl w:val="48126E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62E6F86"/>
    <w:multiLevelType w:val="multilevel"/>
    <w:tmpl w:val="4DC4AD86"/>
    <w:styleLink w:val="WWNum2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3">
    <w:nsid w:val="59717DD0"/>
    <w:multiLevelType w:val="multilevel"/>
    <w:tmpl w:val="F6E2E9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CD3629D"/>
    <w:multiLevelType w:val="multilevel"/>
    <w:tmpl w:val="B40A9BD8"/>
    <w:styleLink w:val="NoList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>
    <w:nsid w:val="68013C68"/>
    <w:multiLevelType w:val="multilevel"/>
    <w:tmpl w:val="63005192"/>
    <w:styleLink w:val="WWNum6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>
    <w:nsid w:val="6BFA1F35"/>
    <w:multiLevelType w:val="multilevel"/>
    <w:tmpl w:val="BA0833C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04F4390"/>
    <w:multiLevelType w:val="multilevel"/>
    <w:tmpl w:val="4790AE4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>
    <w:nsid w:val="720171B9"/>
    <w:multiLevelType w:val="multilevel"/>
    <w:tmpl w:val="42BEC8DA"/>
    <w:styleLink w:val="WWNum6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40118AA"/>
    <w:multiLevelType w:val="multilevel"/>
    <w:tmpl w:val="D7649D2E"/>
    <w:styleLink w:val="WW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0">
    <w:nsid w:val="7533081E"/>
    <w:multiLevelType w:val="multilevel"/>
    <w:tmpl w:val="10E682D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76C35FB4"/>
    <w:multiLevelType w:val="multilevel"/>
    <w:tmpl w:val="8CCE5C7C"/>
    <w:styleLink w:val="WWNum4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7D3939DA"/>
    <w:multiLevelType w:val="multilevel"/>
    <w:tmpl w:val="37004C70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F762C2E"/>
    <w:multiLevelType w:val="multilevel"/>
    <w:tmpl w:val="5574D006"/>
    <w:styleLink w:val="WWNum42"/>
    <w:lvl w:ilvl="0">
      <w:numFmt w:val="bullet"/>
      <w:lvlText w:val=""/>
      <w:lvlJc w:val="left"/>
      <w:rPr>
        <w:rFonts w:ascii="Wingdings" w:hAnsi="Wingdings" w:cs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4"/>
  </w:num>
  <w:num w:numId="5">
    <w:abstractNumId w:val="31"/>
  </w:num>
  <w:num w:numId="6">
    <w:abstractNumId w:val="17"/>
  </w:num>
  <w:num w:numId="7">
    <w:abstractNumId w:val="25"/>
  </w:num>
  <w:num w:numId="8">
    <w:abstractNumId w:val="24"/>
  </w:num>
  <w:num w:numId="9">
    <w:abstractNumId w:val="8"/>
  </w:num>
  <w:num w:numId="10">
    <w:abstractNumId w:val="22"/>
  </w:num>
  <w:num w:numId="11">
    <w:abstractNumId w:val="12"/>
  </w:num>
  <w:num w:numId="12">
    <w:abstractNumId w:val="33"/>
  </w:num>
  <w:num w:numId="13">
    <w:abstractNumId w:val="32"/>
  </w:num>
  <w:num w:numId="14">
    <w:abstractNumId w:val="28"/>
  </w:num>
  <w:num w:numId="15">
    <w:abstractNumId w:val="27"/>
  </w:num>
  <w:num w:numId="16">
    <w:abstractNumId w:val="9"/>
  </w:num>
  <w:num w:numId="17">
    <w:abstractNumId w:val="30"/>
  </w:num>
  <w:num w:numId="18">
    <w:abstractNumId w:val="13"/>
  </w:num>
  <w:num w:numId="19">
    <w:abstractNumId w:val="1"/>
  </w:num>
  <w:num w:numId="20">
    <w:abstractNumId w:val="18"/>
  </w:num>
  <w:num w:numId="21">
    <w:abstractNumId w:val="6"/>
  </w:num>
  <w:num w:numId="22">
    <w:abstractNumId w:val="10"/>
  </w:num>
  <w:num w:numId="23">
    <w:abstractNumId w:val="26"/>
  </w:num>
  <w:num w:numId="24">
    <w:abstractNumId w:val="2"/>
  </w:num>
  <w:num w:numId="25">
    <w:abstractNumId w:val="29"/>
  </w:num>
  <w:num w:numId="26">
    <w:abstractNumId w:val="19"/>
  </w:num>
  <w:num w:numId="27">
    <w:abstractNumId w:val="7"/>
  </w:num>
  <w:num w:numId="28">
    <w:abstractNumId w:val="3"/>
  </w:num>
  <w:num w:numId="29">
    <w:abstractNumId w:val="20"/>
  </w:num>
  <w:num w:numId="30">
    <w:abstractNumId w:val="15"/>
  </w:num>
  <w:num w:numId="31">
    <w:abstractNumId w:val="23"/>
  </w:num>
  <w:num w:numId="32">
    <w:abstractNumId w:val="14"/>
  </w:num>
  <w:num w:numId="33">
    <w:abstractNumId w:val="20"/>
    <w:lvlOverride w:ilvl="0">
      <w:startOverride w:val="1"/>
    </w:lvlOverride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15B"/>
    <w:rsid w:val="0010615B"/>
    <w:rsid w:val="002B20A3"/>
    <w:rsid w:val="00316DAF"/>
    <w:rsid w:val="003935FD"/>
    <w:rsid w:val="00393C2D"/>
    <w:rsid w:val="00685FE4"/>
    <w:rsid w:val="007B3EAD"/>
    <w:rsid w:val="008E0B7B"/>
    <w:rsid w:val="008E557E"/>
    <w:rsid w:val="00B24152"/>
    <w:rsid w:val="00C97F56"/>
    <w:rsid w:val="00DF4554"/>
    <w:rsid w:val="00E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pPr>
      <w:widowControl/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B3E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pPr>
      <w:widowControl/>
      <w:suppressAutoHyphens/>
      <w:spacing w:line="240" w:lineRule="auto"/>
    </w:pPr>
    <w:rPr>
      <w:color w:val="00000A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NormaleWeb">
    <w:name w:val="Normal (Web)"/>
    <w:basedOn w:val="Normale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Default">
    <w:name w:val="Default"/>
    <w:pPr>
      <w:widowControl/>
      <w:autoSpaceDE w:val="0"/>
      <w:spacing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extbodyindent">
    <w:name w:val="Text body indent"/>
    <w:basedOn w:val="Normale"/>
    <w:pPr>
      <w:widowControl/>
      <w:spacing w:after="432" w:line="312" w:lineRule="atLeast"/>
      <w:ind w:firstLine="720"/>
      <w:jc w:val="both"/>
      <w:textAlignment w:val="auto"/>
    </w:pPr>
    <w:rPr>
      <w:rFonts w:ascii="Times New Roman" w:eastAsia="Times New Roman" w:hAnsi="Times New Roman" w:cs="Times New Roman"/>
      <w:bCs/>
      <w:spacing w:val="8"/>
      <w:kern w:val="0"/>
      <w:szCs w:val="24"/>
      <w:lang w:eastAsia="zh-CN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ascii="Times New Roman" w:hAnsi="Times New Roman" w:cs="Symbol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Wingdings"/>
      <w:sz w:val="20"/>
    </w:rPr>
  </w:style>
  <w:style w:type="character" w:customStyle="1" w:styleId="NumberingSymbols">
    <w:name w:val="Numbering Symbols"/>
  </w:style>
  <w:style w:type="character" w:customStyle="1" w:styleId="ListLabel8">
    <w:name w:val="ListLabel 8"/>
    <w:rPr>
      <w:rFonts w:ascii="Times New Roman" w:hAnsi="Times New Roman" w:cs="Symbol"/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Times New Roman" w:hAnsi="Times New Roman" w:cs="Wingdings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bCs/>
      <w:spacing w:val="8"/>
      <w:kern w:val="0"/>
      <w:szCs w:val="24"/>
      <w:lang w:eastAsia="zh-CN"/>
    </w:rPr>
  </w:style>
  <w:style w:type="character" w:customStyle="1" w:styleId="NessunaspaziaturaCarattere">
    <w:name w:val="Nessuna spaziatura Carattere"/>
    <w:basedOn w:val="Carpredefinitoparagrafo"/>
    <w:rPr>
      <w:color w:val="00000A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3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3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B3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1">
    <w:name w:val="No List11"/>
    <w:basedOn w:val="Nessunelenco"/>
    <w:pPr>
      <w:numPr>
        <w:numId w:val="1"/>
      </w:numPr>
    </w:pPr>
  </w:style>
  <w:style w:type="numbering" w:customStyle="1" w:styleId="WWNum111">
    <w:name w:val="WWNum111"/>
    <w:basedOn w:val="Nessunelenco"/>
    <w:pPr>
      <w:numPr>
        <w:numId w:val="2"/>
      </w:numPr>
    </w:pPr>
  </w:style>
  <w:style w:type="numbering" w:customStyle="1" w:styleId="WWNum211">
    <w:name w:val="WWNum211"/>
    <w:basedOn w:val="Nessunelenco"/>
    <w:pPr>
      <w:numPr>
        <w:numId w:val="3"/>
      </w:numPr>
    </w:pPr>
  </w:style>
  <w:style w:type="numbering" w:customStyle="1" w:styleId="WWNum311">
    <w:name w:val="WWNum311"/>
    <w:basedOn w:val="Nessunelenco"/>
    <w:pPr>
      <w:numPr>
        <w:numId w:val="4"/>
      </w:numPr>
    </w:pPr>
  </w:style>
  <w:style w:type="numbering" w:customStyle="1" w:styleId="WWNum411">
    <w:name w:val="WWNum411"/>
    <w:basedOn w:val="Nessunelenco"/>
    <w:pPr>
      <w:numPr>
        <w:numId w:val="5"/>
      </w:numPr>
    </w:pPr>
  </w:style>
  <w:style w:type="numbering" w:customStyle="1" w:styleId="WWNum511">
    <w:name w:val="WWNum511"/>
    <w:basedOn w:val="Nessunelenco"/>
    <w:pPr>
      <w:numPr>
        <w:numId w:val="6"/>
      </w:numPr>
    </w:pPr>
  </w:style>
  <w:style w:type="numbering" w:customStyle="1" w:styleId="WWNum611">
    <w:name w:val="WWNum611"/>
    <w:basedOn w:val="Nessunelenco"/>
    <w:pPr>
      <w:numPr>
        <w:numId w:val="7"/>
      </w:numPr>
    </w:pPr>
  </w:style>
  <w:style w:type="numbering" w:customStyle="1" w:styleId="NoList2">
    <w:name w:val="No List2"/>
    <w:basedOn w:val="Nessunelenco"/>
    <w:pPr>
      <w:numPr>
        <w:numId w:val="8"/>
      </w:numPr>
    </w:pPr>
  </w:style>
  <w:style w:type="numbering" w:customStyle="1" w:styleId="WWNum12">
    <w:name w:val="WWNum12"/>
    <w:basedOn w:val="Nessunelenco"/>
    <w:pPr>
      <w:numPr>
        <w:numId w:val="9"/>
      </w:numPr>
    </w:pPr>
  </w:style>
  <w:style w:type="numbering" w:customStyle="1" w:styleId="WWNum22">
    <w:name w:val="WWNum22"/>
    <w:basedOn w:val="Nessunelenco"/>
    <w:pPr>
      <w:numPr>
        <w:numId w:val="10"/>
      </w:numPr>
    </w:pPr>
  </w:style>
  <w:style w:type="numbering" w:customStyle="1" w:styleId="WWNum32">
    <w:name w:val="WWNum32"/>
    <w:basedOn w:val="Nessunelenco"/>
    <w:pPr>
      <w:numPr>
        <w:numId w:val="11"/>
      </w:numPr>
    </w:pPr>
  </w:style>
  <w:style w:type="numbering" w:customStyle="1" w:styleId="WWNum42">
    <w:name w:val="WWNum42"/>
    <w:basedOn w:val="Nessunelenco"/>
    <w:pPr>
      <w:numPr>
        <w:numId w:val="12"/>
      </w:numPr>
    </w:pPr>
  </w:style>
  <w:style w:type="numbering" w:customStyle="1" w:styleId="WWNum52">
    <w:name w:val="WWNum52"/>
    <w:basedOn w:val="Nessunelenco"/>
    <w:pPr>
      <w:numPr>
        <w:numId w:val="13"/>
      </w:numPr>
    </w:pPr>
  </w:style>
  <w:style w:type="numbering" w:customStyle="1" w:styleId="WWNum62">
    <w:name w:val="WWNum62"/>
    <w:basedOn w:val="Nessunelenco"/>
    <w:pPr>
      <w:numPr>
        <w:numId w:val="14"/>
      </w:numPr>
    </w:pPr>
  </w:style>
  <w:style w:type="numbering" w:customStyle="1" w:styleId="NoList1">
    <w:name w:val="No List1"/>
    <w:basedOn w:val="Nessunelenco"/>
    <w:pPr>
      <w:numPr>
        <w:numId w:val="15"/>
      </w:numPr>
    </w:pPr>
  </w:style>
  <w:style w:type="numbering" w:customStyle="1" w:styleId="WWNum11">
    <w:name w:val="WWNum11"/>
    <w:basedOn w:val="Nessunelenco"/>
    <w:pPr>
      <w:numPr>
        <w:numId w:val="16"/>
      </w:numPr>
    </w:pPr>
  </w:style>
  <w:style w:type="numbering" w:customStyle="1" w:styleId="WWNum21">
    <w:name w:val="WWNum21"/>
    <w:basedOn w:val="Nessunelenco"/>
    <w:pPr>
      <w:numPr>
        <w:numId w:val="17"/>
      </w:numPr>
    </w:pPr>
  </w:style>
  <w:style w:type="numbering" w:customStyle="1" w:styleId="WWNum31">
    <w:name w:val="WWNum31"/>
    <w:basedOn w:val="Nessunelenco"/>
    <w:pPr>
      <w:numPr>
        <w:numId w:val="18"/>
      </w:numPr>
    </w:pPr>
  </w:style>
  <w:style w:type="numbering" w:customStyle="1" w:styleId="WWNum41">
    <w:name w:val="WWNum41"/>
    <w:basedOn w:val="Nessunelenco"/>
    <w:pPr>
      <w:numPr>
        <w:numId w:val="19"/>
      </w:numPr>
    </w:pPr>
  </w:style>
  <w:style w:type="numbering" w:customStyle="1" w:styleId="WWNum51">
    <w:name w:val="WWNum51"/>
    <w:basedOn w:val="Nessunelenco"/>
    <w:pPr>
      <w:numPr>
        <w:numId w:val="20"/>
      </w:numPr>
    </w:pPr>
  </w:style>
  <w:style w:type="numbering" w:customStyle="1" w:styleId="WWNum61">
    <w:name w:val="WWNum61"/>
    <w:basedOn w:val="Nessunelenco"/>
    <w:pPr>
      <w:numPr>
        <w:numId w:val="21"/>
      </w:numPr>
    </w:pPr>
  </w:style>
  <w:style w:type="numbering" w:customStyle="1" w:styleId="Nessunelenco1">
    <w:name w:val="Nessun elenco1"/>
    <w:basedOn w:val="Nessunelenco"/>
    <w:pPr>
      <w:numPr>
        <w:numId w:val="22"/>
      </w:numPr>
    </w:pPr>
  </w:style>
  <w:style w:type="numbering" w:customStyle="1" w:styleId="WWNum1">
    <w:name w:val="WWNum1"/>
    <w:basedOn w:val="Nessunelenco"/>
    <w:pPr>
      <w:numPr>
        <w:numId w:val="23"/>
      </w:numPr>
    </w:pPr>
  </w:style>
  <w:style w:type="numbering" w:customStyle="1" w:styleId="WWNum2">
    <w:name w:val="WWNum2"/>
    <w:basedOn w:val="Nessunelenco"/>
    <w:pPr>
      <w:numPr>
        <w:numId w:val="24"/>
      </w:numPr>
    </w:pPr>
  </w:style>
  <w:style w:type="numbering" w:customStyle="1" w:styleId="WWNum3">
    <w:name w:val="WWNum3"/>
    <w:basedOn w:val="Nessunelenco"/>
    <w:pPr>
      <w:numPr>
        <w:numId w:val="25"/>
      </w:numPr>
    </w:pPr>
  </w:style>
  <w:style w:type="numbering" w:customStyle="1" w:styleId="WWNum4">
    <w:name w:val="WWNum4"/>
    <w:basedOn w:val="Nessunelenco"/>
    <w:pPr>
      <w:numPr>
        <w:numId w:val="26"/>
      </w:numPr>
    </w:pPr>
  </w:style>
  <w:style w:type="numbering" w:customStyle="1" w:styleId="WWNum5">
    <w:name w:val="WWNum5"/>
    <w:basedOn w:val="Nessunelenco"/>
    <w:pPr>
      <w:numPr>
        <w:numId w:val="27"/>
      </w:numPr>
    </w:pPr>
  </w:style>
  <w:style w:type="numbering" w:customStyle="1" w:styleId="WWNum6">
    <w:name w:val="WWNum6"/>
    <w:basedOn w:val="Nessunelenco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pPr>
      <w:widowControl/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3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B3E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pPr>
      <w:widowControl/>
      <w:suppressAutoHyphens/>
      <w:spacing w:line="240" w:lineRule="auto"/>
    </w:pPr>
    <w:rPr>
      <w:color w:val="00000A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NormaleWeb">
    <w:name w:val="Normal (Web)"/>
    <w:basedOn w:val="Normale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Default">
    <w:name w:val="Default"/>
    <w:pPr>
      <w:widowControl/>
      <w:autoSpaceDE w:val="0"/>
      <w:spacing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extbodyindent">
    <w:name w:val="Text body indent"/>
    <w:basedOn w:val="Normale"/>
    <w:pPr>
      <w:widowControl/>
      <w:spacing w:after="432" w:line="312" w:lineRule="atLeast"/>
      <w:ind w:firstLine="720"/>
      <w:jc w:val="both"/>
      <w:textAlignment w:val="auto"/>
    </w:pPr>
    <w:rPr>
      <w:rFonts w:ascii="Times New Roman" w:eastAsia="Times New Roman" w:hAnsi="Times New Roman" w:cs="Times New Roman"/>
      <w:bCs/>
      <w:spacing w:val="8"/>
      <w:kern w:val="0"/>
      <w:szCs w:val="24"/>
      <w:lang w:eastAsia="zh-CN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ascii="Times New Roman" w:hAnsi="Times New Roman" w:cs="Symbol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Wingdings"/>
      <w:sz w:val="20"/>
    </w:rPr>
  </w:style>
  <w:style w:type="character" w:customStyle="1" w:styleId="NumberingSymbols">
    <w:name w:val="Numbering Symbols"/>
  </w:style>
  <w:style w:type="character" w:customStyle="1" w:styleId="ListLabel8">
    <w:name w:val="ListLabel 8"/>
    <w:rPr>
      <w:rFonts w:ascii="Times New Roman" w:hAnsi="Times New Roman" w:cs="Symbol"/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Times New Roman" w:hAnsi="Times New Roman" w:cs="Wingdings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bCs/>
      <w:spacing w:val="8"/>
      <w:kern w:val="0"/>
      <w:szCs w:val="24"/>
      <w:lang w:eastAsia="zh-CN"/>
    </w:rPr>
  </w:style>
  <w:style w:type="character" w:customStyle="1" w:styleId="NessunaspaziaturaCarattere">
    <w:name w:val="Nessuna spaziatura Carattere"/>
    <w:basedOn w:val="Carpredefinitoparagrafo"/>
    <w:rPr>
      <w:color w:val="00000A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3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3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B3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1">
    <w:name w:val="No List11"/>
    <w:basedOn w:val="Nessunelenco"/>
    <w:pPr>
      <w:numPr>
        <w:numId w:val="1"/>
      </w:numPr>
    </w:pPr>
  </w:style>
  <w:style w:type="numbering" w:customStyle="1" w:styleId="WWNum111">
    <w:name w:val="WWNum111"/>
    <w:basedOn w:val="Nessunelenco"/>
    <w:pPr>
      <w:numPr>
        <w:numId w:val="2"/>
      </w:numPr>
    </w:pPr>
  </w:style>
  <w:style w:type="numbering" w:customStyle="1" w:styleId="WWNum211">
    <w:name w:val="WWNum211"/>
    <w:basedOn w:val="Nessunelenco"/>
    <w:pPr>
      <w:numPr>
        <w:numId w:val="3"/>
      </w:numPr>
    </w:pPr>
  </w:style>
  <w:style w:type="numbering" w:customStyle="1" w:styleId="WWNum311">
    <w:name w:val="WWNum311"/>
    <w:basedOn w:val="Nessunelenco"/>
    <w:pPr>
      <w:numPr>
        <w:numId w:val="4"/>
      </w:numPr>
    </w:pPr>
  </w:style>
  <w:style w:type="numbering" w:customStyle="1" w:styleId="WWNum411">
    <w:name w:val="WWNum411"/>
    <w:basedOn w:val="Nessunelenco"/>
    <w:pPr>
      <w:numPr>
        <w:numId w:val="5"/>
      </w:numPr>
    </w:pPr>
  </w:style>
  <w:style w:type="numbering" w:customStyle="1" w:styleId="WWNum511">
    <w:name w:val="WWNum511"/>
    <w:basedOn w:val="Nessunelenco"/>
    <w:pPr>
      <w:numPr>
        <w:numId w:val="6"/>
      </w:numPr>
    </w:pPr>
  </w:style>
  <w:style w:type="numbering" w:customStyle="1" w:styleId="WWNum611">
    <w:name w:val="WWNum611"/>
    <w:basedOn w:val="Nessunelenco"/>
    <w:pPr>
      <w:numPr>
        <w:numId w:val="7"/>
      </w:numPr>
    </w:pPr>
  </w:style>
  <w:style w:type="numbering" w:customStyle="1" w:styleId="NoList2">
    <w:name w:val="No List2"/>
    <w:basedOn w:val="Nessunelenco"/>
    <w:pPr>
      <w:numPr>
        <w:numId w:val="8"/>
      </w:numPr>
    </w:pPr>
  </w:style>
  <w:style w:type="numbering" w:customStyle="1" w:styleId="WWNum12">
    <w:name w:val="WWNum12"/>
    <w:basedOn w:val="Nessunelenco"/>
    <w:pPr>
      <w:numPr>
        <w:numId w:val="9"/>
      </w:numPr>
    </w:pPr>
  </w:style>
  <w:style w:type="numbering" w:customStyle="1" w:styleId="WWNum22">
    <w:name w:val="WWNum22"/>
    <w:basedOn w:val="Nessunelenco"/>
    <w:pPr>
      <w:numPr>
        <w:numId w:val="10"/>
      </w:numPr>
    </w:pPr>
  </w:style>
  <w:style w:type="numbering" w:customStyle="1" w:styleId="WWNum32">
    <w:name w:val="WWNum32"/>
    <w:basedOn w:val="Nessunelenco"/>
    <w:pPr>
      <w:numPr>
        <w:numId w:val="11"/>
      </w:numPr>
    </w:pPr>
  </w:style>
  <w:style w:type="numbering" w:customStyle="1" w:styleId="WWNum42">
    <w:name w:val="WWNum42"/>
    <w:basedOn w:val="Nessunelenco"/>
    <w:pPr>
      <w:numPr>
        <w:numId w:val="12"/>
      </w:numPr>
    </w:pPr>
  </w:style>
  <w:style w:type="numbering" w:customStyle="1" w:styleId="WWNum52">
    <w:name w:val="WWNum52"/>
    <w:basedOn w:val="Nessunelenco"/>
    <w:pPr>
      <w:numPr>
        <w:numId w:val="13"/>
      </w:numPr>
    </w:pPr>
  </w:style>
  <w:style w:type="numbering" w:customStyle="1" w:styleId="WWNum62">
    <w:name w:val="WWNum62"/>
    <w:basedOn w:val="Nessunelenco"/>
    <w:pPr>
      <w:numPr>
        <w:numId w:val="14"/>
      </w:numPr>
    </w:pPr>
  </w:style>
  <w:style w:type="numbering" w:customStyle="1" w:styleId="NoList1">
    <w:name w:val="No List1"/>
    <w:basedOn w:val="Nessunelenco"/>
    <w:pPr>
      <w:numPr>
        <w:numId w:val="15"/>
      </w:numPr>
    </w:pPr>
  </w:style>
  <w:style w:type="numbering" w:customStyle="1" w:styleId="WWNum11">
    <w:name w:val="WWNum11"/>
    <w:basedOn w:val="Nessunelenco"/>
    <w:pPr>
      <w:numPr>
        <w:numId w:val="16"/>
      </w:numPr>
    </w:pPr>
  </w:style>
  <w:style w:type="numbering" w:customStyle="1" w:styleId="WWNum21">
    <w:name w:val="WWNum21"/>
    <w:basedOn w:val="Nessunelenco"/>
    <w:pPr>
      <w:numPr>
        <w:numId w:val="17"/>
      </w:numPr>
    </w:pPr>
  </w:style>
  <w:style w:type="numbering" w:customStyle="1" w:styleId="WWNum31">
    <w:name w:val="WWNum31"/>
    <w:basedOn w:val="Nessunelenco"/>
    <w:pPr>
      <w:numPr>
        <w:numId w:val="18"/>
      </w:numPr>
    </w:pPr>
  </w:style>
  <w:style w:type="numbering" w:customStyle="1" w:styleId="WWNum41">
    <w:name w:val="WWNum41"/>
    <w:basedOn w:val="Nessunelenco"/>
    <w:pPr>
      <w:numPr>
        <w:numId w:val="19"/>
      </w:numPr>
    </w:pPr>
  </w:style>
  <w:style w:type="numbering" w:customStyle="1" w:styleId="WWNum51">
    <w:name w:val="WWNum51"/>
    <w:basedOn w:val="Nessunelenco"/>
    <w:pPr>
      <w:numPr>
        <w:numId w:val="20"/>
      </w:numPr>
    </w:pPr>
  </w:style>
  <w:style w:type="numbering" w:customStyle="1" w:styleId="WWNum61">
    <w:name w:val="WWNum61"/>
    <w:basedOn w:val="Nessunelenco"/>
    <w:pPr>
      <w:numPr>
        <w:numId w:val="21"/>
      </w:numPr>
    </w:pPr>
  </w:style>
  <w:style w:type="numbering" w:customStyle="1" w:styleId="Nessunelenco1">
    <w:name w:val="Nessun elenco1"/>
    <w:basedOn w:val="Nessunelenco"/>
    <w:pPr>
      <w:numPr>
        <w:numId w:val="22"/>
      </w:numPr>
    </w:pPr>
  </w:style>
  <w:style w:type="numbering" w:customStyle="1" w:styleId="WWNum1">
    <w:name w:val="WWNum1"/>
    <w:basedOn w:val="Nessunelenco"/>
    <w:pPr>
      <w:numPr>
        <w:numId w:val="23"/>
      </w:numPr>
    </w:pPr>
  </w:style>
  <w:style w:type="numbering" w:customStyle="1" w:styleId="WWNum2">
    <w:name w:val="WWNum2"/>
    <w:basedOn w:val="Nessunelenco"/>
    <w:pPr>
      <w:numPr>
        <w:numId w:val="24"/>
      </w:numPr>
    </w:pPr>
  </w:style>
  <w:style w:type="numbering" w:customStyle="1" w:styleId="WWNum3">
    <w:name w:val="WWNum3"/>
    <w:basedOn w:val="Nessunelenco"/>
    <w:pPr>
      <w:numPr>
        <w:numId w:val="25"/>
      </w:numPr>
    </w:pPr>
  </w:style>
  <w:style w:type="numbering" w:customStyle="1" w:styleId="WWNum4">
    <w:name w:val="WWNum4"/>
    <w:basedOn w:val="Nessunelenco"/>
    <w:pPr>
      <w:numPr>
        <w:numId w:val="26"/>
      </w:numPr>
    </w:pPr>
  </w:style>
  <w:style w:type="numbering" w:customStyle="1" w:styleId="WWNum5">
    <w:name w:val="WWNum5"/>
    <w:basedOn w:val="Nessunelenco"/>
    <w:pPr>
      <w:numPr>
        <w:numId w:val="27"/>
      </w:numPr>
    </w:pPr>
  </w:style>
  <w:style w:type="numbering" w:customStyle="1" w:styleId="WWNum6">
    <w:name w:val="WWNum6"/>
    <w:basedOn w:val="Nessunelenco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ogrammazione%20anno%20pastorale%202016%20-17\Caritas\Relazione%20Caritas%20diocesana%20anno%202016%2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c:style val="2"/>
  <c:chart>
    <c:autoTitleDeleted val="1"/>
    <c:plotArea>
      <c:layout>
        <c:manualLayout>
          <c:xMode val="edge"/>
          <c:yMode val="edge"/>
          <c:x val="1.9879969992498123E-2"/>
          <c:y val="1.9677598665925514E-2"/>
          <c:w val="0.81364091022755691"/>
          <c:h val="0.96019980235933544"/>
        </c:manualLayout>
      </c:layout>
      <c:barChart>
        <c:barDir val="col"/>
        <c:grouping val="clustered"/>
        <c:varyColors val="0"/>
        <c:ser>
          <c:idx val="0"/>
          <c:order val="0"/>
          <c:tx>
            <c:v>Gennaio</c:v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934</c:v>
              </c:pt>
            </c:numLit>
          </c:val>
        </c:ser>
        <c:ser>
          <c:idx val="1"/>
          <c:order val="1"/>
          <c:tx>
            <c:v>Febbraio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887</c:v>
              </c:pt>
            </c:numLit>
          </c:val>
        </c:ser>
        <c:ser>
          <c:idx val="2"/>
          <c:order val="2"/>
          <c:tx>
            <c:v>Marzo</c:v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998</c:v>
              </c:pt>
            </c:numLit>
          </c:val>
        </c:ser>
        <c:ser>
          <c:idx val="3"/>
          <c:order val="3"/>
          <c:tx>
            <c:v>Aprile</c:v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971</c:v>
              </c:pt>
            </c:numLit>
          </c:val>
        </c:ser>
        <c:ser>
          <c:idx val="4"/>
          <c:order val="4"/>
          <c:tx>
            <c:v>Maggio</c:v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940</c:v>
              </c:pt>
            </c:numLit>
          </c:val>
        </c:ser>
        <c:ser>
          <c:idx val="5"/>
          <c:order val="5"/>
          <c:tx>
            <c:v>Giugno</c:v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836</c:v>
              </c:pt>
            </c:numLit>
          </c:val>
        </c:ser>
        <c:ser>
          <c:idx val="6"/>
          <c:order val="6"/>
          <c:tx>
            <c:v>Luglio</c:v>
          </c:tx>
          <c:spPr>
            <a:solidFill>
              <a:srgbClr val="314004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699</c:v>
              </c:pt>
            </c:numLit>
          </c:val>
        </c:ser>
        <c:ser>
          <c:idx val="7"/>
          <c:order val="7"/>
          <c:tx>
            <c:v>Agosto</c:v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462</c:v>
              </c:pt>
            </c:numLit>
          </c:val>
        </c:ser>
        <c:ser>
          <c:idx val="8"/>
          <c:order val="8"/>
          <c:tx>
            <c:v>Settembre</c:v>
          </c:tx>
          <c:spPr>
            <a:solidFill>
              <a:srgbClr val="4B1F6F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599</c:v>
              </c:pt>
            </c:numLit>
          </c:val>
        </c:ser>
        <c:ser>
          <c:idx val="9"/>
          <c:order val="9"/>
          <c:tx>
            <c:v>Ottobre</c:v>
          </c:tx>
          <c:spPr>
            <a:solidFill>
              <a:srgbClr val="FF950E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674</c:v>
              </c:pt>
            </c:numLit>
          </c:val>
        </c:ser>
        <c:ser>
          <c:idx val="10"/>
          <c:order val="10"/>
          <c:tx>
            <c:v>Novembre</c:v>
          </c:tx>
          <c:spPr>
            <a:solidFill>
              <a:srgbClr val="C5000B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753</c:v>
              </c:pt>
            </c:numLit>
          </c:val>
        </c:ser>
        <c:ser>
          <c:idx val="11"/>
          <c:order val="11"/>
          <c:tx>
            <c:v>Dicembre</c:v>
          </c:tx>
          <c:spPr>
            <a:solidFill>
              <a:srgbClr val="0084D1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657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739840"/>
        <c:axId val="110733952"/>
      </c:barChart>
      <c:valAx>
        <c:axId val="110733952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it-IT" sz="1000" b="0" baseline="0">
                <a:solidFill>
                  <a:srgbClr val="000000"/>
                </a:solidFill>
                <a:latin typeface="Calibri"/>
              </a:defRPr>
            </a:pPr>
            <a:endParaRPr lang="it-IT"/>
          </a:p>
        </c:txPr>
        <c:crossAx val="110739840"/>
        <c:crosses val="autoZero"/>
        <c:crossBetween val="between"/>
      </c:valAx>
      <c:catAx>
        <c:axId val="11073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it-IT" sz="1000" b="0" baseline="0">
                <a:solidFill>
                  <a:srgbClr val="000000"/>
                </a:solidFill>
                <a:latin typeface="Calibri"/>
              </a:defRPr>
            </a:pPr>
            <a:endParaRPr lang="it-IT"/>
          </a:p>
        </c:txPr>
        <c:crossAx val="110733952"/>
        <c:crosses val="autoZero"/>
        <c:auto val="1"/>
        <c:lblAlgn val="ctr"/>
        <c:lblOffset val="100"/>
        <c:noMultiLvlLbl val="0"/>
      </c:catAx>
      <c:spPr>
        <a:noFill/>
        <a:ln w="9360"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lang="it-IT" sz="1000" b="0" baseline="0">
              <a:solidFill>
                <a:srgbClr val="000000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c:style val="2"/>
  <c:chart>
    <c:autoTitleDeleted val="1"/>
    <c:plotArea>
      <c:layout>
        <c:manualLayout>
          <c:xMode val="edge"/>
          <c:yMode val="edge"/>
          <c:x val="1.9879969992498123E-2"/>
          <c:y val="1.9677598665925514E-2"/>
          <c:w val="0.81364091022755691"/>
          <c:h val="0.96019980235933544"/>
        </c:manualLayout>
      </c:layout>
      <c:barChart>
        <c:barDir val="col"/>
        <c:grouping val="clustered"/>
        <c:varyColors val="0"/>
        <c:ser>
          <c:idx val="0"/>
          <c:order val="0"/>
          <c:tx>
            <c:v>Gennaio</c:v>
          </c:tx>
          <c:spPr>
            <a:solidFill>
              <a:srgbClr val="FF950E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1972</c:v>
              </c:pt>
            </c:numLit>
          </c:val>
        </c:ser>
        <c:ser>
          <c:idx val="1"/>
          <c:order val="1"/>
          <c:tx>
            <c:v>Febbraio</c:v>
          </c:tx>
          <c:spPr>
            <a:solidFill>
              <a:srgbClr val="4B1F6F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2191</c:v>
              </c:pt>
            </c:numLit>
          </c:val>
        </c:ser>
        <c:ser>
          <c:idx val="2"/>
          <c:order val="2"/>
          <c:tx>
            <c:v>Marzo </c:v>
          </c:tx>
          <c:spPr>
            <a:solidFill>
              <a:srgbClr val="AECF00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2021</c:v>
              </c:pt>
            </c:numLit>
          </c:val>
        </c:ser>
        <c:ser>
          <c:idx val="3"/>
          <c:order val="3"/>
          <c:tx>
            <c:v>Aprile</c:v>
          </c:tx>
          <c:spPr>
            <a:solidFill>
              <a:srgbClr val="314004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2146</c:v>
              </c:pt>
            </c:numLit>
          </c:val>
        </c:ser>
        <c:ser>
          <c:idx val="4"/>
          <c:order val="4"/>
          <c:tx>
            <c:v>Maggio</c:v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2107</c:v>
              </c:pt>
            </c:numLit>
          </c:val>
        </c:ser>
        <c:ser>
          <c:idx val="5"/>
          <c:order val="5"/>
          <c:tx>
            <c:v>Giugno</c:v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1668</c:v>
              </c:pt>
            </c:numLit>
          </c:val>
        </c:ser>
        <c:ser>
          <c:idx val="6"/>
          <c:order val="6"/>
          <c:tx>
            <c:v>Luglio</c:v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1714</c:v>
              </c:pt>
            </c:numLit>
          </c:val>
        </c:ser>
        <c:ser>
          <c:idx val="7"/>
          <c:order val="7"/>
          <c:tx>
            <c:v>Agosto</c:v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1881</c:v>
              </c:pt>
            </c:numLit>
          </c:val>
        </c:ser>
        <c:ser>
          <c:idx val="8"/>
          <c:order val="8"/>
          <c:tx>
            <c:v>Settembre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1656</c:v>
              </c:pt>
            </c:numLit>
          </c:val>
        </c:ser>
        <c:ser>
          <c:idx val="9"/>
          <c:order val="9"/>
          <c:tx>
            <c:v>Ottobre</c:v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1888</c:v>
              </c:pt>
            </c:numLit>
          </c:val>
        </c:ser>
        <c:ser>
          <c:idx val="10"/>
          <c:order val="10"/>
          <c:tx>
            <c:v>Novembre</c:v>
          </c:tx>
          <c:spPr>
            <a:solidFill>
              <a:srgbClr val="C5000B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1922</c:v>
              </c:pt>
            </c:numLit>
          </c:val>
        </c:ser>
        <c:ser>
          <c:idx val="11"/>
          <c:order val="11"/>
          <c:tx>
            <c:v>Dicembre</c:v>
          </c:tx>
          <c:spPr>
            <a:solidFill>
              <a:srgbClr val="0084D1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</c:strLit>
          </c:cat>
          <c:val>
            <c:numLit>
              <c:formatCode>General</c:formatCode>
              <c:ptCount val="1"/>
              <c:pt idx="0">
                <c:v>1841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06176"/>
        <c:axId val="115504640"/>
      </c:barChart>
      <c:valAx>
        <c:axId val="115504640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it-IT" sz="1000" b="0" baseline="0">
                <a:solidFill>
                  <a:srgbClr val="000000"/>
                </a:solidFill>
                <a:latin typeface="Calibri"/>
              </a:defRPr>
            </a:pPr>
            <a:endParaRPr lang="it-IT"/>
          </a:p>
        </c:txPr>
        <c:crossAx val="115506176"/>
        <c:crosses val="autoZero"/>
        <c:crossBetween val="between"/>
      </c:valAx>
      <c:catAx>
        <c:axId val="115506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it-IT" sz="1000" b="0" baseline="0">
                <a:solidFill>
                  <a:srgbClr val="000000"/>
                </a:solidFill>
                <a:latin typeface="Calibri"/>
              </a:defRPr>
            </a:pPr>
            <a:endParaRPr lang="it-IT"/>
          </a:p>
        </c:txPr>
        <c:crossAx val="115504640"/>
        <c:crosses val="autoZero"/>
        <c:auto val="1"/>
        <c:lblAlgn val="ctr"/>
        <c:lblOffset val="100"/>
        <c:noMultiLvlLbl val="0"/>
      </c:catAx>
      <c:spPr>
        <a:noFill/>
        <a:ln w="9360"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lang="it-IT" sz="1000" b="0" baseline="0">
              <a:solidFill>
                <a:srgbClr val="000000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c:style val="2"/>
  <c:chart>
    <c:autoTitleDeleted val="1"/>
    <c:plotArea>
      <c:layout>
        <c:manualLayout>
          <c:xMode val="edge"/>
          <c:yMode val="edge"/>
          <c:x val="1.1330021767036891E-2"/>
          <c:y val="2.6014452473596444E-2"/>
          <c:w val="0.87107201106335996"/>
          <c:h val="0.95975511086406029"/>
        </c:manualLayout>
      </c:layout>
      <c:barChart>
        <c:barDir val="col"/>
        <c:grouping val="clustered"/>
        <c:varyColors val="0"/>
        <c:ser>
          <c:idx val="0"/>
          <c:order val="0"/>
          <c:tx>
            <c:v>Docce</c:v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2"/>
              <c:pt idx="0">
                <c:v>Gennaio</c:v>
              </c:pt>
              <c:pt idx="1">
                <c:v>Febbraio</c:v>
              </c:pt>
              <c:pt idx="2">
                <c:v>Marzo</c:v>
              </c:pt>
              <c:pt idx="3">
                <c:v>Aprile</c:v>
              </c:pt>
              <c:pt idx="4">
                <c:v>Maggio</c:v>
              </c:pt>
              <c:pt idx="5">
                <c:v>Giugno</c:v>
              </c:pt>
              <c:pt idx="6">
                <c:v>Luglio</c:v>
              </c:pt>
              <c:pt idx="7">
                <c:v>Agosto</c:v>
              </c:pt>
              <c:pt idx="8">
                <c:v>Settembre</c:v>
              </c:pt>
              <c:pt idx="9">
                <c:v>Ottobre</c:v>
              </c:pt>
              <c:pt idx="10">
                <c:v>Novembre</c:v>
              </c:pt>
              <c:pt idx="11">
                <c:v>Dicembre</c:v>
              </c:pt>
            </c:strLit>
          </c:cat>
          <c:val>
            <c:numLit>
              <c:formatCode>General</c:formatCode>
              <c:ptCount val="12"/>
              <c:pt idx="0">
                <c:v>137</c:v>
              </c:pt>
              <c:pt idx="1">
                <c:v>186</c:v>
              </c:pt>
              <c:pt idx="2">
                <c:v>160</c:v>
              </c:pt>
              <c:pt idx="3">
                <c:v>169</c:v>
              </c:pt>
              <c:pt idx="4">
                <c:v>185</c:v>
              </c:pt>
              <c:pt idx="5">
                <c:v>166</c:v>
              </c:pt>
              <c:pt idx="6">
                <c:v>165</c:v>
              </c:pt>
              <c:pt idx="7">
                <c:v>109</c:v>
              </c:pt>
              <c:pt idx="8">
                <c:v>169</c:v>
              </c:pt>
              <c:pt idx="9">
                <c:v>179</c:v>
              </c:pt>
              <c:pt idx="10">
                <c:v>180</c:v>
              </c:pt>
              <c:pt idx="11">
                <c:v>150</c:v>
              </c:pt>
            </c:numLit>
          </c:val>
        </c:ser>
        <c:ser>
          <c:idx val="1"/>
          <c:order val="1"/>
          <c:tx>
            <c:v>Barbiere</c:v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lang="it-IT" sz="1000" b="0" baseline="0">
                    <a:solidFill>
                      <a:srgbClr val="000000"/>
                    </a:solidFill>
                    <a:latin typeface="Calibri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2"/>
              <c:pt idx="0">
                <c:v>Gennaio</c:v>
              </c:pt>
              <c:pt idx="1">
                <c:v>Febbraio</c:v>
              </c:pt>
              <c:pt idx="2">
                <c:v>Marzo</c:v>
              </c:pt>
              <c:pt idx="3">
                <c:v>Aprile</c:v>
              </c:pt>
              <c:pt idx="4">
                <c:v>Maggio</c:v>
              </c:pt>
              <c:pt idx="5">
                <c:v>Giugno</c:v>
              </c:pt>
              <c:pt idx="6">
                <c:v>Luglio</c:v>
              </c:pt>
              <c:pt idx="7">
                <c:v>Agosto</c:v>
              </c:pt>
              <c:pt idx="8">
                <c:v>Settembre</c:v>
              </c:pt>
              <c:pt idx="9">
                <c:v>Ottobre</c:v>
              </c:pt>
              <c:pt idx="10">
                <c:v>Novembre</c:v>
              </c:pt>
              <c:pt idx="11">
                <c:v>Dicembre</c:v>
              </c:pt>
            </c:strLit>
          </c:cat>
          <c:val>
            <c:numLit>
              <c:formatCode>General</c:formatCode>
              <c:ptCount val="12"/>
              <c:pt idx="0">
                <c:v>41</c:v>
              </c:pt>
              <c:pt idx="1">
                <c:v>0</c:v>
              </c:pt>
              <c:pt idx="2">
                <c:v>29</c:v>
              </c:pt>
              <c:pt idx="3">
                <c:v>48</c:v>
              </c:pt>
              <c:pt idx="4">
                <c:v>66</c:v>
              </c:pt>
              <c:pt idx="5">
                <c:v>45</c:v>
              </c:pt>
              <c:pt idx="6">
                <c:v>47</c:v>
              </c:pt>
              <c:pt idx="7">
                <c:v>0</c:v>
              </c:pt>
              <c:pt idx="8">
                <c:v>65</c:v>
              </c:pt>
              <c:pt idx="9">
                <c:v>73</c:v>
              </c:pt>
              <c:pt idx="10">
                <c:v>65</c:v>
              </c:pt>
              <c:pt idx="11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37792"/>
        <c:axId val="115536256"/>
      </c:barChart>
      <c:valAx>
        <c:axId val="115536256"/>
        <c:scaling>
          <c:orientation val="minMax"/>
        </c:scaling>
        <c:delete val="0"/>
        <c:axPos val="l"/>
        <c:majorGridlines>
          <c:spPr>
            <a:ln w="9360">
              <a:solidFill>
                <a:srgbClr val="B3B3B3"/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it-IT" sz="1000" b="0" baseline="0">
                <a:solidFill>
                  <a:srgbClr val="000000"/>
                </a:solidFill>
                <a:latin typeface="Calibri"/>
              </a:defRPr>
            </a:pPr>
            <a:endParaRPr lang="it-IT"/>
          </a:p>
        </c:txPr>
        <c:crossAx val="115537792"/>
        <c:crosses val="autoZero"/>
        <c:crossBetween val="between"/>
      </c:valAx>
      <c:catAx>
        <c:axId val="11553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lang="it-IT" sz="1000" b="0" baseline="0">
                <a:solidFill>
                  <a:srgbClr val="000000"/>
                </a:solidFill>
                <a:latin typeface="Calibri"/>
              </a:defRPr>
            </a:pPr>
            <a:endParaRPr lang="it-IT"/>
          </a:p>
        </c:txPr>
        <c:crossAx val="115536256"/>
        <c:crosses val="autoZero"/>
        <c:auto val="1"/>
        <c:lblAlgn val="ctr"/>
        <c:lblOffset val="100"/>
        <c:noMultiLvlLbl val="0"/>
      </c:catAx>
      <c:spPr>
        <a:noFill/>
        <a:ln w="9360"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lang="it-IT" sz="1000" b="0" baseline="0">
              <a:solidFill>
                <a:srgbClr val="000000"/>
              </a:solidFill>
              <a:latin typeface="Calibri"/>
            </a:defRPr>
          </a:pPr>
          <a:endParaRPr lang="it-I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Caritas diocesana anno 2016 </Template>
  <TotalTime>3</TotalTime>
  <Pages>20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2017-07-14T17:45:00Z</cp:lastPrinted>
  <dcterms:created xsi:type="dcterms:W3CDTF">2017-07-25T15:14:00Z</dcterms:created>
  <dcterms:modified xsi:type="dcterms:W3CDTF">2017-07-25T15:28:00Z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